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FA2397" w:rsidRDefault="006B5BA7" w:rsidP="00301134">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TEUCHITLÁN</w:t>
            </w:r>
          </w:p>
          <w:p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rsidR="00A45E83" w:rsidRPr="005056F4" w:rsidRDefault="00301134" w:rsidP="005056F4">
            <w:pPr>
              <w:spacing w:after="0" w:line="240" w:lineRule="auto"/>
              <w:jc w:val="center"/>
              <w:rPr>
                <w:rFonts w:ascii="Arial" w:hAnsi="Arial" w:cs="Arial"/>
                <w:b/>
                <w:sz w:val="24"/>
                <w:szCs w:val="28"/>
              </w:rPr>
            </w:pPr>
            <w:r w:rsidRPr="00B2492A">
              <w:rPr>
                <w:rFonts w:ascii="Arial" w:hAnsi="Arial" w:cs="Arial"/>
                <w:b/>
                <w:sz w:val="24"/>
                <w:szCs w:val="28"/>
              </w:rPr>
              <w:t>DE DESGLOSE</w:t>
            </w:r>
          </w:p>
          <w:p w:rsidR="00A45E83" w:rsidRPr="002403D3" w:rsidRDefault="006B5BA7"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30 DE JUNIO DE 2023</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6B5BA7" w:rsidRDefault="006B5BA7" w:rsidP="006B5BA7">
            <w:pPr>
              <w:autoSpaceDE w:val="0"/>
              <w:autoSpaceDN w:val="0"/>
              <w:adjustRightInd w:val="0"/>
              <w:spacing w:after="0" w:line="240" w:lineRule="exact"/>
              <w:ind w:firstLine="288"/>
              <w:jc w:val="center"/>
              <w:rPr>
                <w:rFonts w:ascii="Arial" w:hAnsi="Arial" w:cs="Arial"/>
                <w:sz w:val="18"/>
                <w:szCs w:val="18"/>
                <w:lang w:val="es-ES" w:eastAsia="es-MX"/>
              </w:rPr>
            </w:pPr>
            <w:bookmarkStart w:id="2" w:name="cuerpo"/>
            <w:bookmarkEnd w:id="2"/>
            <w:r>
              <w:rPr>
                <w:rFonts w:ascii="Arial" w:hAnsi="Arial" w:cs="Arial"/>
                <w:b/>
                <w:bCs/>
                <w:sz w:val="18"/>
                <w:szCs w:val="18"/>
                <w:lang w:val="es-ES" w:eastAsia="es-MX"/>
              </w:rPr>
              <w:t>a) NOTAS DE DESGLOSE</w:t>
            </w: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left="648" w:hanging="360"/>
              <w:jc w:val="both"/>
              <w:rPr>
                <w:rFonts w:ascii="Arial" w:hAnsi="Arial" w:cs="Arial"/>
                <w:b/>
                <w:bCs/>
                <w:sz w:val="18"/>
                <w:szCs w:val="18"/>
                <w:lang w:val="es-ES" w:eastAsia="es-MX"/>
              </w:rPr>
            </w:pPr>
            <w:r>
              <w:rPr>
                <w:rFonts w:ascii="Arial" w:hAnsi="Arial" w:cs="Arial"/>
                <w:b/>
                <w:bCs/>
                <w:sz w:val="18"/>
                <w:szCs w:val="18"/>
                <w:lang w:val="es-ES" w:eastAsia="es-MX"/>
              </w:rPr>
              <w:t>I)</w:t>
            </w:r>
            <w:r>
              <w:rPr>
                <w:rFonts w:ascii="Arial" w:hAnsi="Arial" w:cs="Arial"/>
                <w:b/>
                <w:bCs/>
                <w:sz w:val="18"/>
                <w:szCs w:val="18"/>
                <w:lang w:val="es-ES" w:eastAsia="es-MX"/>
              </w:rPr>
              <w:tab/>
              <w:t>Notas al Estado de Situación Financiera</w:t>
            </w: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Activo</w:t>
            </w: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p>
          <w:p w:rsidR="006B5BA7" w:rsidRDefault="006B5BA7" w:rsidP="006B5BA7">
            <w:pPr>
              <w:autoSpaceDE w:val="0"/>
              <w:autoSpaceDN w:val="0"/>
              <w:adjustRightInd w:val="0"/>
              <w:spacing w:after="0" w:line="240" w:lineRule="exact"/>
              <w:ind w:firstLine="706"/>
              <w:jc w:val="both"/>
              <w:rPr>
                <w:rFonts w:ascii="Arial" w:hAnsi="Arial" w:cs="Arial"/>
                <w:b/>
                <w:bCs/>
                <w:sz w:val="18"/>
                <w:szCs w:val="18"/>
                <w:lang w:eastAsia="es-MX"/>
              </w:rPr>
            </w:pPr>
            <w:r>
              <w:rPr>
                <w:rFonts w:ascii="Arial" w:hAnsi="Arial" w:cs="Arial"/>
                <w:b/>
                <w:bCs/>
                <w:sz w:val="18"/>
                <w:szCs w:val="18"/>
                <w:lang w:eastAsia="es-MX"/>
              </w:rPr>
              <w:t>Efectivo y Equivalentes</w:t>
            </w:r>
          </w:p>
          <w:p w:rsidR="006B5BA7" w:rsidRDefault="006B5BA7" w:rsidP="006B5BA7">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informará acerca de los fondos con afectación específica, el tipo y monto de los mismos; de las inversiones financieras se revelará su tipo y monto, su clasificación en corto y largo plazo separando aquéllas que su vencimiento sea menor a 3 meses.</w:t>
            </w:r>
          </w:p>
          <w:p w:rsidR="006B5BA7" w:rsidRDefault="006B5BA7" w:rsidP="006B5BA7">
            <w:pPr>
              <w:tabs>
                <w:tab w:val="left" w:pos="720"/>
              </w:tabs>
              <w:autoSpaceDE w:val="0"/>
              <w:autoSpaceDN w:val="0"/>
              <w:adjustRightInd w:val="0"/>
              <w:spacing w:after="0" w:line="240" w:lineRule="exact"/>
              <w:ind w:left="648"/>
              <w:jc w:val="both"/>
              <w:rPr>
                <w:rFonts w:ascii="Arial" w:hAnsi="Arial" w:cs="Arial"/>
                <w:sz w:val="18"/>
                <w:szCs w:val="18"/>
                <w:lang w:eastAsia="es-MX"/>
              </w:rPr>
            </w:pP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Derechos a recibir Efectivo y Equivalentes y Bienes o Servicios a Recibir</w:t>
            </w:r>
          </w:p>
          <w:p w:rsidR="006B5BA7" w:rsidRDefault="006B5BA7" w:rsidP="006B5BA7">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el monto que se encuentre pendiente de cobro, asimismo se deberán considerar los montos sujetos a algún tipo de juicio con una antigüedad mayor a la señalada y la factibilidad de cobro.</w:t>
            </w:r>
          </w:p>
          <w:p w:rsidR="006B5BA7" w:rsidRDefault="006B5BA7" w:rsidP="006B5BA7">
            <w:pPr>
              <w:tabs>
                <w:tab w:val="left" w:pos="720"/>
              </w:tabs>
              <w:autoSpaceDE w:val="0"/>
              <w:autoSpaceDN w:val="0"/>
              <w:adjustRightInd w:val="0"/>
              <w:spacing w:after="0" w:line="240" w:lineRule="exact"/>
              <w:ind w:left="288"/>
              <w:jc w:val="both"/>
              <w:rPr>
                <w:rFonts w:ascii="Arial" w:hAnsi="Arial" w:cs="Arial"/>
                <w:sz w:val="18"/>
                <w:szCs w:val="18"/>
                <w:lang w:eastAsia="es-MX"/>
              </w:rPr>
            </w:pPr>
          </w:p>
          <w:p w:rsidR="006B5BA7" w:rsidRDefault="006B5BA7" w:rsidP="006B5BA7">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6B5BA7" w:rsidRDefault="006B5BA7" w:rsidP="006B5BA7">
            <w:pPr>
              <w:tabs>
                <w:tab w:val="left" w:pos="720"/>
              </w:tabs>
              <w:autoSpaceDE w:val="0"/>
              <w:autoSpaceDN w:val="0"/>
              <w:adjustRightInd w:val="0"/>
              <w:spacing w:after="0" w:line="240" w:lineRule="exact"/>
              <w:jc w:val="both"/>
              <w:rPr>
                <w:rFonts w:ascii="Arial" w:hAnsi="Arial" w:cs="Arial"/>
                <w:sz w:val="18"/>
                <w:szCs w:val="18"/>
                <w:lang w:eastAsia="es-MX"/>
              </w:rPr>
            </w:pP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Bienes Disponibles para su Transformación o Consumo (inventarios)</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4.</w:t>
            </w:r>
            <w:r>
              <w:rPr>
                <w:rFonts w:ascii="Arial" w:hAnsi="Arial" w:cs="Arial"/>
                <w:sz w:val="18"/>
                <w:szCs w:val="18"/>
                <w:lang w:eastAsia="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ab/>
              <w:t>En la nota se informará del sistema de costeo y método de valuación aplicada a los inventarios, así como la conveniencia de su aplicación dada la naturaleza de los mismos. Adicionalmente, se revelará el impacto en la información financiera por cambios en el método o sistema.</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5.</w:t>
            </w:r>
            <w:r>
              <w:rPr>
                <w:rFonts w:ascii="Arial" w:hAnsi="Arial" w:cs="Arial"/>
                <w:sz w:val="18"/>
                <w:szCs w:val="18"/>
                <w:lang w:eastAsia="es-MX"/>
              </w:rPr>
              <w:tab/>
              <w:t>De la cuenta Almacén se informará acerca del método de valuación, así como la conveniencia de su aplicación. Adicionalmente, se revelará el impacto en la información financiera por cambios en el método.</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Inversiones Financieras</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6.</w:t>
            </w:r>
            <w:r>
              <w:rPr>
                <w:rFonts w:ascii="Arial" w:hAnsi="Arial" w:cs="Arial"/>
                <w:sz w:val="18"/>
                <w:szCs w:val="18"/>
                <w:lang w:eastAsia="es-MX"/>
              </w:rPr>
              <w:tab/>
              <w:t>De la cuenta Inversiones financieras, que considera los fideicomisos, se informará de éstos los recursos asignados por tipo y monto, y características significativas que tengan o puedan tener alguna incidencia en las mismas.</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7.</w:t>
            </w:r>
            <w:r>
              <w:rPr>
                <w:rFonts w:ascii="Arial" w:hAnsi="Arial" w:cs="Arial"/>
                <w:sz w:val="18"/>
                <w:szCs w:val="18"/>
                <w:lang w:eastAsia="es-MX"/>
              </w:rPr>
              <w:tab/>
              <w:t>Se informará de las inversiones financieras, los saldos de las participaciones y aportaciones de capital.</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Bienes Muebles, Inmuebles e Intangibles</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8.</w:t>
            </w:r>
            <w:r>
              <w:rPr>
                <w:rFonts w:ascii="Arial" w:hAnsi="Arial" w:cs="Arial"/>
                <w:sz w:val="18"/>
                <w:szCs w:val="18"/>
                <w:lang w:eastAsia="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9.</w:t>
            </w:r>
            <w:r>
              <w:rPr>
                <w:rFonts w:ascii="Arial" w:hAnsi="Arial" w:cs="Arial"/>
                <w:sz w:val="18"/>
                <w:szCs w:val="18"/>
                <w:lang w:eastAsia="es-MX"/>
              </w:rPr>
              <w:tab/>
              <w:t>Se informará de manera agrupada por cuenta, los rubros de activos intangibles y diferidos, su monto y naturaleza, amortización del ejercicio, amortización acumulada, tasa y método aplicados.</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Estimaciones y Deterioros</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10.</w:t>
            </w:r>
            <w:r>
              <w:rPr>
                <w:rFonts w:ascii="Arial" w:hAnsi="Arial" w:cs="Arial"/>
                <w:sz w:val="18"/>
                <w:szCs w:val="18"/>
                <w:lang w:eastAsia="es-MX"/>
              </w:rPr>
              <w:tab/>
              <w:t>Se informarán los criterios utilizados para la determinación de las estimaciones; por ejemplo: estimación de cuentas incobrables, estimación de inventarios, deterioro de activos biológicos y cualquier otra que aplique.</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Otros Activos</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11.</w:t>
            </w:r>
            <w:r>
              <w:rPr>
                <w:rFonts w:ascii="Arial" w:hAnsi="Arial" w:cs="Arial"/>
                <w:sz w:val="18"/>
                <w:szCs w:val="18"/>
                <w:lang w:eastAsia="es-MX"/>
              </w:rPr>
              <w:tab/>
              <w:t>De las cuentas de otros activos se informará por tipo de bienes muebles, inmuebles y otros, los montos totales asociados y sus características cualitativas significativas que les impacten financieramente.</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6B5BA7" w:rsidRDefault="006B5BA7" w:rsidP="006B5BA7">
            <w:pPr>
              <w:tabs>
                <w:tab w:val="left" w:pos="720"/>
              </w:tabs>
              <w:autoSpaceDE w:val="0"/>
              <w:autoSpaceDN w:val="0"/>
              <w:adjustRightInd w:val="0"/>
              <w:spacing w:after="0" w:line="240" w:lineRule="exact"/>
              <w:ind w:left="432" w:hanging="432"/>
              <w:jc w:val="both"/>
              <w:rPr>
                <w:rFonts w:ascii="Arial" w:hAnsi="Arial" w:cs="Arial"/>
                <w:b/>
                <w:bCs/>
                <w:sz w:val="18"/>
                <w:szCs w:val="18"/>
                <w:lang w:eastAsia="es-MX"/>
              </w:rPr>
            </w:pPr>
            <w:r>
              <w:rPr>
                <w:rFonts w:ascii="Arial" w:hAnsi="Arial" w:cs="Arial"/>
                <w:b/>
                <w:bCs/>
                <w:sz w:val="18"/>
                <w:szCs w:val="18"/>
                <w:lang w:eastAsia="es-MX"/>
              </w:rPr>
              <w:t>Pasivo</w:t>
            </w:r>
          </w:p>
          <w:p w:rsidR="006B5BA7" w:rsidRDefault="006B5BA7" w:rsidP="006B5BA7">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elaborará una relación de las cuentas y documentos por pagar en una desagregación por su vencimiento en días a 90, 180, menor o igual a 365 y mayor a 365. Asimismo, se informará sobre la factibilidad del pago de dichos pasivos.</w:t>
            </w:r>
          </w:p>
          <w:p w:rsidR="006B5BA7" w:rsidRDefault="006B5BA7" w:rsidP="006B5BA7">
            <w:pPr>
              <w:tabs>
                <w:tab w:val="left" w:pos="720"/>
              </w:tabs>
              <w:autoSpaceDE w:val="0"/>
              <w:autoSpaceDN w:val="0"/>
              <w:adjustRightInd w:val="0"/>
              <w:spacing w:after="0" w:line="240" w:lineRule="exact"/>
              <w:ind w:left="648"/>
              <w:jc w:val="both"/>
              <w:rPr>
                <w:rFonts w:ascii="Arial" w:hAnsi="Arial" w:cs="Arial"/>
                <w:sz w:val="18"/>
                <w:szCs w:val="18"/>
                <w:lang w:eastAsia="es-MX"/>
              </w:rPr>
            </w:pPr>
          </w:p>
          <w:p w:rsidR="006B5BA7" w:rsidRDefault="006B5BA7" w:rsidP="006B5BA7">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6B5BA7" w:rsidRDefault="006B5BA7" w:rsidP="006B5BA7">
            <w:pPr>
              <w:tabs>
                <w:tab w:val="left" w:pos="720"/>
              </w:tabs>
              <w:autoSpaceDE w:val="0"/>
              <w:autoSpaceDN w:val="0"/>
              <w:adjustRightInd w:val="0"/>
              <w:spacing w:after="0" w:line="240" w:lineRule="exact"/>
              <w:ind w:left="288"/>
              <w:jc w:val="both"/>
              <w:rPr>
                <w:rFonts w:ascii="Arial" w:hAnsi="Arial" w:cs="Arial"/>
                <w:sz w:val="18"/>
                <w:szCs w:val="18"/>
                <w:lang w:eastAsia="es-MX"/>
              </w:rPr>
            </w:pP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Se informará de las demás cuentas de pasivos, monto y características significativas que les impacten o pudieran impactarles financieramente.</w:t>
            </w:r>
          </w:p>
          <w:p w:rsidR="006B5BA7" w:rsidRDefault="006B5BA7" w:rsidP="006B5BA7">
            <w:pPr>
              <w:tabs>
                <w:tab w:val="left" w:pos="720"/>
              </w:tabs>
              <w:autoSpaceDE w:val="0"/>
              <w:autoSpaceDN w:val="0"/>
              <w:adjustRightInd w:val="0"/>
              <w:spacing w:after="0" w:line="240" w:lineRule="exact"/>
              <w:ind w:left="1008"/>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II)</w:t>
            </w:r>
            <w:r>
              <w:rPr>
                <w:rFonts w:ascii="Arial" w:hAnsi="Arial" w:cs="Arial"/>
                <w:b/>
                <w:bCs/>
                <w:sz w:val="18"/>
                <w:szCs w:val="18"/>
                <w:lang w:val="es-ES" w:eastAsia="es-MX"/>
              </w:rPr>
              <w:tab/>
              <w:t>Notas al Estado de Actividades</w:t>
            </w:r>
          </w:p>
          <w:p w:rsidR="006B5BA7" w:rsidRDefault="006B5BA7" w:rsidP="006B5BA7">
            <w:pPr>
              <w:autoSpaceDE w:val="0"/>
              <w:autoSpaceDN w:val="0"/>
              <w:adjustRightInd w:val="0"/>
              <w:spacing w:after="0" w:line="240" w:lineRule="exact"/>
              <w:ind w:left="360" w:hanging="360"/>
              <w:jc w:val="both"/>
              <w:rPr>
                <w:rFonts w:ascii="Arial" w:hAnsi="Arial" w:cs="Arial"/>
                <w:b/>
                <w:bCs/>
                <w:sz w:val="18"/>
                <w:szCs w:val="18"/>
                <w:lang w:val="es-ES" w:eastAsia="es-MX"/>
              </w:rPr>
            </w:pP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Ingresos de Gestión</w:t>
            </w:r>
          </w:p>
          <w:p w:rsidR="006B5BA7" w:rsidRDefault="006B5BA7" w:rsidP="006B5BA7">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6B5BA7" w:rsidRDefault="006B5BA7" w:rsidP="006B5BA7">
            <w:pPr>
              <w:tabs>
                <w:tab w:val="left" w:pos="720"/>
              </w:tabs>
              <w:autoSpaceDE w:val="0"/>
              <w:autoSpaceDN w:val="0"/>
              <w:adjustRightInd w:val="0"/>
              <w:spacing w:after="0" w:line="240" w:lineRule="exact"/>
              <w:ind w:left="288"/>
              <w:jc w:val="both"/>
              <w:rPr>
                <w:rFonts w:ascii="Arial" w:hAnsi="Arial" w:cs="Arial"/>
                <w:sz w:val="18"/>
                <w:szCs w:val="18"/>
                <w:lang w:eastAsia="es-MX"/>
              </w:rPr>
            </w:pPr>
          </w:p>
          <w:p w:rsidR="006B5BA7" w:rsidRDefault="006B5BA7" w:rsidP="006B5BA7">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el tipo, monto y naturaleza de la cuenta de otros ingresos, asimismo se informará de sus características significativas.</w:t>
            </w:r>
          </w:p>
          <w:p w:rsidR="006B5BA7" w:rsidRDefault="006B5BA7" w:rsidP="006B5BA7">
            <w:pPr>
              <w:tabs>
                <w:tab w:val="left" w:pos="720"/>
              </w:tabs>
              <w:autoSpaceDE w:val="0"/>
              <w:autoSpaceDN w:val="0"/>
              <w:adjustRightInd w:val="0"/>
              <w:spacing w:after="0" w:line="240" w:lineRule="exact"/>
              <w:jc w:val="both"/>
              <w:rPr>
                <w:rFonts w:ascii="Arial" w:hAnsi="Arial" w:cs="Arial"/>
                <w:sz w:val="18"/>
                <w:szCs w:val="18"/>
                <w:lang w:eastAsia="es-MX"/>
              </w:rPr>
            </w:pP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Gastos y Otras Pérdidas:</w:t>
            </w:r>
          </w:p>
          <w:p w:rsidR="006B5BA7" w:rsidRDefault="006B5BA7" w:rsidP="006B5BA7">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6B5BA7" w:rsidRDefault="006B5BA7" w:rsidP="006B5BA7">
            <w:pPr>
              <w:tabs>
                <w:tab w:val="left" w:pos="720"/>
              </w:tabs>
              <w:autoSpaceDE w:val="0"/>
              <w:autoSpaceDN w:val="0"/>
              <w:adjustRightInd w:val="0"/>
              <w:spacing w:after="0" w:line="240" w:lineRule="exact"/>
              <w:ind w:left="1008"/>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III)</w:t>
            </w:r>
            <w:r>
              <w:rPr>
                <w:rFonts w:ascii="Arial" w:hAnsi="Arial" w:cs="Arial"/>
                <w:b/>
                <w:bCs/>
                <w:sz w:val="18"/>
                <w:szCs w:val="18"/>
                <w:lang w:val="es-ES" w:eastAsia="es-MX"/>
              </w:rPr>
              <w:tab/>
              <w:t>Notas al Estado de Variación en la Hacienda Pública</w:t>
            </w:r>
          </w:p>
          <w:p w:rsidR="006B5BA7" w:rsidRDefault="006B5BA7" w:rsidP="006B5BA7">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informará, de manera agrupada, acerca de las modificaciones al patrimonio contribuido por tipo, naturaleza y monto.</w:t>
            </w:r>
          </w:p>
          <w:p w:rsidR="006B5BA7" w:rsidRDefault="006B5BA7" w:rsidP="006B5BA7">
            <w:pPr>
              <w:tabs>
                <w:tab w:val="left" w:pos="720"/>
              </w:tabs>
              <w:autoSpaceDE w:val="0"/>
              <w:autoSpaceDN w:val="0"/>
              <w:adjustRightInd w:val="0"/>
              <w:spacing w:after="0" w:line="240" w:lineRule="exact"/>
              <w:ind w:left="288"/>
              <w:jc w:val="both"/>
              <w:rPr>
                <w:rFonts w:ascii="Arial" w:hAnsi="Arial" w:cs="Arial"/>
                <w:sz w:val="18"/>
                <w:szCs w:val="18"/>
                <w:lang w:eastAsia="es-MX"/>
              </w:rPr>
            </w:pP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acerca del monto y procedencia de los recursos que modifican al patrimonio generado.</w:t>
            </w:r>
          </w:p>
          <w:p w:rsidR="006B5BA7" w:rsidRDefault="006B5BA7" w:rsidP="006B5BA7">
            <w:pPr>
              <w:tabs>
                <w:tab w:val="left" w:pos="720"/>
              </w:tabs>
              <w:autoSpaceDE w:val="0"/>
              <w:autoSpaceDN w:val="0"/>
              <w:adjustRightInd w:val="0"/>
              <w:spacing w:after="0" w:line="240" w:lineRule="exact"/>
              <w:ind w:left="1008"/>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IV)</w:t>
            </w:r>
            <w:r>
              <w:rPr>
                <w:rFonts w:ascii="Arial" w:hAnsi="Arial" w:cs="Arial"/>
                <w:b/>
                <w:bCs/>
                <w:sz w:val="18"/>
                <w:szCs w:val="18"/>
                <w:lang w:val="es-ES" w:eastAsia="es-MX"/>
              </w:rPr>
              <w:tab/>
              <w:t xml:space="preserve">Notas al Estado de Flujos de Efectivo </w:t>
            </w:r>
          </w:p>
          <w:p w:rsidR="006B5BA7" w:rsidRDefault="006B5BA7" w:rsidP="006B5BA7">
            <w:pPr>
              <w:autoSpaceDE w:val="0"/>
              <w:autoSpaceDN w:val="0"/>
              <w:adjustRightInd w:val="0"/>
              <w:spacing w:after="0" w:line="240" w:lineRule="exact"/>
              <w:ind w:left="360" w:hanging="360"/>
              <w:jc w:val="both"/>
              <w:rPr>
                <w:rFonts w:ascii="Arial" w:hAnsi="Arial" w:cs="Arial"/>
                <w:b/>
                <w:bCs/>
                <w:sz w:val="18"/>
                <w:szCs w:val="18"/>
                <w:lang w:val="es-ES" w:eastAsia="es-MX"/>
              </w:rPr>
            </w:pP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Efectivo y equivalentes</w:t>
            </w:r>
          </w:p>
          <w:p w:rsidR="006B5BA7" w:rsidRDefault="006B5BA7" w:rsidP="006B5BA7">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El análisis de los saldos inicial y final que figuran en la última parte del Estado de Flujo de Efectivo en la cuenta de efectivo y equivalentes es como sigue:</w:t>
            </w:r>
          </w:p>
          <w:p w:rsidR="006B5BA7" w:rsidRDefault="006B5BA7" w:rsidP="006B5BA7">
            <w:pPr>
              <w:autoSpaceDE w:val="0"/>
              <w:autoSpaceDN w:val="0"/>
              <w:adjustRightInd w:val="0"/>
              <w:spacing w:after="0" w:line="240" w:lineRule="exact"/>
              <w:jc w:val="both"/>
              <w:rPr>
                <w:rFonts w:ascii="Arial" w:hAnsi="Arial" w:cs="Arial"/>
                <w:sz w:val="18"/>
                <w:szCs w:val="18"/>
                <w:lang w:eastAsia="es-MX"/>
              </w:rPr>
            </w:pPr>
          </w:p>
          <w:p w:rsidR="006B5BA7" w:rsidRDefault="006B5BA7" w:rsidP="006B5BA7">
            <w:pPr>
              <w:autoSpaceDE w:val="0"/>
              <w:autoSpaceDN w:val="0"/>
              <w:adjustRightInd w:val="0"/>
              <w:spacing w:after="0"/>
              <w:ind w:left="1418"/>
              <w:rPr>
                <w:rFonts w:ascii="Arial" w:hAnsi="Arial" w:cs="Arial"/>
                <w:sz w:val="18"/>
                <w:szCs w:val="18"/>
                <w:lang w:eastAsia="es-MX"/>
              </w:rPr>
            </w:pPr>
            <w:r>
              <w:rPr>
                <w:rFonts w:ascii="Arial" w:hAnsi="Arial" w:cs="Arial"/>
                <w:sz w:val="18"/>
                <w:szCs w:val="18"/>
                <w:lang w:eastAsia="es-MX"/>
              </w:rPr>
              <w:lastRenderedPageBreak/>
              <w:t xml:space="preserve">Estado de Flujo de Efectivo </w:t>
            </w:r>
            <w:r>
              <w:rPr>
                <w:rFonts w:ascii="Arial" w:hAnsi="Arial" w:cs="Arial"/>
                <w:sz w:val="18"/>
                <w:szCs w:val="18"/>
                <w:lang w:val="es-ES" w:eastAsia="es-MX"/>
              </w:rPr>
              <w:t>al 30 de Junio del 2023</w:t>
            </w:r>
          </w:p>
          <w:tbl>
            <w:tblPr>
              <w:tblW w:w="0" w:type="auto"/>
              <w:tblInd w:w="1526" w:type="dxa"/>
              <w:tblBorders>
                <w:top w:val="single" w:sz="8" w:space="0" w:color="auto"/>
                <w:bottom w:val="single" w:sz="8" w:space="0" w:color="auto"/>
              </w:tblBorders>
              <w:tblLook w:val="0000" w:firstRow="0" w:lastRow="0" w:firstColumn="0" w:lastColumn="0" w:noHBand="0" w:noVBand="0"/>
            </w:tblPr>
            <w:tblGrid>
              <w:gridCol w:w="3223"/>
              <w:gridCol w:w="1488"/>
            </w:tblGrid>
            <w:tr w:rsidR="006B5BA7">
              <w:tblPrEx>
                <w:tblCellMar>
                  <w:top w:w="0" w:type="dxa"/>
                  <w:bottom w:w="0" w:type="dxa"/>
                </w:tblCellMar>
              </w:tblPrEx>
              <w:tc>
                <w:tcPr>
                  <w:tcW w:w="3223"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Cuenta</w:t>
                  </w:r>
                </w:p>
              </w:tc>
              <w:tc>
                <w:tcPr>
                  <w:tcW w:w="1488"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2023</w:t>
                  </w:r>
                </w:p>
              </w:tc>
            </w:tr>
            <w:tr w:rsidR="006B5BA7">
              <w:tblPrEx>
                <w:tblCellMar>
                  <w:top w:w="0" w:type="dxa"/>
                  <w:bottom w:w="0" w:type="dxa"/>
                </w:tblCellMar>
              </w:tblPrEx>
              <w:tc>
                <w:tcPr>
                  <w:tcW w:w="3223" w:type="dxa"/>
                  <w:tcBorders>
                    <w:top w:val="single" w:sz="6" w:space="0" w:color="auto"/>
                    <w:left w:val="nil"/>
                    <w:bottom w:val="nil"/>
                    <w:right w:val="nil"/>
                  </w:tcBorders>
                </w:tcPr>
                <w:p w:rsidR="006B5BA7" w:rsidRDefault="006B5BA7" w:rsidP="006B5BA7">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Efectivo</w:t>
                  </w:r>
                </w:p>
              </w:tc>
              <w:tc>
                <w:tcPr>
                  <w:tcW w:w="1488" w:type="dxa"/>
                  <w:tcBorders>
                    <w:top w:val="single" w:sz="6" w:space="0" w:color="auto"/>
                    <w:left w:val="nil"/>
                    <w:bottom w:val="nil"/>
                    <w:right w:val="nil"/>
                  </w:tcBorders>
                </w:tcPr>
                <w:p w:rsidR="006B5BA7" w:rsidRDefault="006B5BA7" w:rsidP="006B5BA7">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396,886.63</w:t>
                  </w:r>
                </w:p>
              </w:tc>
            </w:tr>
            <w:tr w:rsidR="006B5BA7">
              <w:tblPrEx>
                <w:tblCellMar>
                  <w:top w:w="0" w:type="dxa"/>
                  <w:bottom w:w="0" w:type="dxa"/>
                </w:tblCellMar>
              </w:tblPrEx>
              <w:tc>
                <w:tcPr>
                  <w:tcW w:w="3223"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 xml:space="preserve"> Bancos</w:t>
                  </w:r>
                </w:p>
              </w:tc>
              <w:tc>
                <w:tcPr>
                  <w:tcW w:w="1488"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3,242,132.41</w:t>
                  </w:r>
                </w:p>
              </w:tc>
            </w:tr>
            <w:tr w:rsidR="006B5BA7">
              <w:tblPrEx>
                <w:tblCellMar>
                  <w:top w:w="0" w:type="dxa"/>
                  <w:bottom w:w="0" w:type="dxa"/>
                </w:tblCellMar>
              </w:tblPrEx>
              <w:tc>
                <w:tcPr>
                  <w:tcW w:w="3223"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eastAsia="es-MX"/>
                    </w:rPr>
                    <w:t>Depósitos de fondos de terceros</w:t>
                  </w:r>
                </w:p>
              </w:tc>
              <w:tc>
                <w:tcPr>
                  <w:tcW w:w="1488"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232,683.38</w:t>
                  </w:r>
                </w:p>
              </w:tc>
            </w:tr>
            <w:tr w:rsidR="006B5BA7">
              <w:tblPrEx>
                <w:tblCellMar>
                  <w:top w:w="0" w:type="dxa"/>
                  <w:bottom w:w="0" w:type="dxa"/>
                </w:tblCellMar>
              </w:tblPrEx>
              <w:tc>
                <w:tcPr>
                  <w:tcW w:w="3223"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Inversiones temporales (Hasta 3 Meses)</w:t>
                  </w:r>
                </w:p>
              </w:tc>
              <w:tc>
                <w:tcPr>
                  <w:tcW w:w="1488"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0.00</w:t>
                  </w:r>
                </w:p>
              </w:tc>
            </w:tr>
            <w:tr w:rsidR="006B5BA7">
              <w:tblPrEx>
                <w:tblCellMar>
                  <w:top w:w="0" w:type="dxa"/>
                  <w:bottom w:w="0" w:type="dxa"/>
                </w:tblCellMar>
              </w:tblPrEx>
              <w:tc>
                <w:tcPr>
                  <w:tcW w:w="3223"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Depósitos de Fondos de Terceros y Otros</w:t>
                  </w:r>
                </w:p>
              </w:tc>
              <w:tc>
                <w:tcPr>
                  <w:tcW w:w="1488"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6B5BA7">
              <w:tblPrEx>
                <w:tblCellMar>
                  <w:top w:w="0" w:type="dxa"/>
                  <w:bottom w:w="0" w:type="dxa"/>
                </w:tblCellMar>
              </w:tblPrEx>
              <w:tc>
                <w:tcPr>
                  <w:tcW w:w="3223"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Total de Efectivo y Equivalentes</w:t>
                  </w:r>
                </w:p>
              </w:tc>
              <w:tc>
                <w:tcPr>
                  <w:tcW w:w="1488"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b/>
                      <w:bCs/>
                      <w:i/>
                      <w:iCs/>
                      <w:color w:val="000000"/>
                      <w:sz w:val="16"/>
                      <w:szCs w:val="16"/>
                      <w:lang w:eastAsia="es-MX"/>
                    </w:rPr>
                  </w:pPr>
                  <w:r>
                    <w:rPr>
                      <w:rFonts w:ascii="Arial" w:hAnsi="Arial" w:cs="Arial"/>
                      <w:b/>
                      <w:bCs/>
                      <w:i/>
                      <w:iCs/>
                      <w:color w:val="000000"/>
                      <w:sz w:val="16"/>
                      <w:szCs w:val="16"/>
                      <w:lang w:eastAsia="es-MX"/>
                    </w:rPr>
                    <w:t>3,871,702.42</w:t>
                  </w:r>
                </w:p>
              </w:tc>
            </w:tr>
          </w:tbl>
          <w:p w:rsidR="006B5BA7" w:rsidRDefault="006B5BA7" w:rsidP="006B5BA7">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6B5BA7" w:rsidRDefault="006B5BA7" w:rsidP="006B5BA7">
            <w:pPr>
              <w:tabs>
                <w:tab w:val="left" w:pos="720"/>
              </w:tabs>
              <w:autoSpaceDE w:val="0"/>
              <w:autoSpaceDN w:val="0"/>
              <w:adjustRightInd w:val="0"/>
              <w:spacing w:after="0" w:line="240" w:lineRule="exact"/>
              <w:ind w:left="648"/>
              <w:jc w:val="both"/>
              <w:rPr>
                <w:rFonts w:ascii="Arial" w:hAnsi="Arial" w:cs="Arial"/>
                <w:sz w:val="18"/>
                <w:szCs w:val="18"/>
                <w:lang w:eastAsia="es-MX"/>
              </w:rPr>
            </w:pP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Conciliación de los Flujos de Efectivo Netos de las Actividades de Operación y la cuenta de Ahorro/Desahorro antes de Rubros Extraordinarios. A continuación se presenta un ejemplo de la elaboración de la conciliación.</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left="1418"/>
              <w:jc w:val="both"/>
              <w:rPr>
                <w:rFonts w:ascii="Arial" w:hAnsi="Arial" w:cs="Arial"/>
                <w:sz w:val="18"/>
                <w:szCs w:val="18"/>
                <w:lang w:eastAsia="es-MX"/>
              </w:rPr>
            </w:pPr>
            <w:r>
              <w:rPr>
                <w:rFonts w:ascii="Arial" w:hAnsi="Arial" w:cs="Arial"/>
                <w:sz w:val="18"/>
                <w:szCs w:val="18"/>
                <w:lang w:eastAsia="es-MX"/>
              </w:rPr>
              <w:t xml:space="preserve">       Ahorro/Desahorro Enero a Junio 2023</w:t>
            </w:r>
          </w:p>
          <w:tbl>
            <w:tblPr>
              <w:tblW w:w="0" w:type="auto"/>
              <w:tblInd w:w="1526" w:type="dxa"/>
              <w:tblBorders>
                <w:top w:val="single" w:sz="8" w:space="0" w:color="auto"/>
                <w:bottom w:val="single" w:sz="8" w:space="0" w:color="auto"/>
              </w:tblBorders>
              <w:tblLook w:val="0000" w:firstRow="0" w:lastRow="0" w:firstColumn="0" w:lastColumn="0" w:noHBand="0" w:noVBand="0"/>
            </w:tblPr>
            <w:tblGrid>
              <w:gridCol w:w="3961"/>
              <w:gridCol w:w="1329"/>
            </w:tblGrid>
            <w:tr w:rsidR="006B5BA7">
              <w:tblPrEx>
                <w:tblCellMar>
                  <w:top w:w="0" w:type="dxa"/>
                  <w:bottom w:w="0" w:type="dxa"/>
                </w:tblCellMar>
              </w:tblPrEx>
              <w:tc>
                <w:tcPr>
                  <w:tcW w:w="3961"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Cuentas</w:t>
                  </w:r>
                </w:p>
              </w:tc>
              <w:tc>
                <w:tcPr>
                  <w:tcW w:w="1329"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2023</w:t>
                  </w:r>
                </w:p>
              </w:tc>
            </w:tr>
            <w:tr w:rsidR="006B5BA7">
              <w:tblPrEx>
                <w:tblCellMar>
                  <w:top w:w="0" w:type="dxa"/>
                  <w:bottom w:w="0" w:type="dxa"/>
                </w:tblCellMar>
              </w:tblPrEx>
              <w:tc>
                <w:tcPr>
                  <w:tcW w:w="3961" w:type="dxa"/>
                  <w:tcBorders>
                    <w:top w:val="single" w:sz="6" w:space="0" w:color="auto"/>
                    <w:left w:val="nil"/>
                    <w:bottom w:val="nil"/>
                    <w:right w:val="nil"/>
                  </w:tcBorders>
                </w:tcPr>
                <w:p w:rsidR="006B5BA7" w:rsidRDefault="006B5BA7" w:rsidP="006B5BA7">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Ahorro/Desa antes de Rubros Extraordinarios</w:t>
                  </w:r>
                </w:p>
              </w:tc>
              <w:tc>
                <w:tcPr>
                  <w:tcW w:w="1329" w:type="dxa"/>
                  <w:tcBorders>
                    <w:top w:val="single" w:sz="6" w:space="0" w:color="auto"/>
                    <w:left w:val="nil"/>
                    <w:bottom w:val="nil"/>
                    <w:right w:val="nil"/>
                  </w:tcBorders>
                </w:tcPr>
                <w:p w:rsidR="006B5BA7" w:rsidRDefault="006B5BA7" w:rsidP="006B5BA7">
                  <w:pPr>
                    <w:autoSpaceDE w:val="0"/>
                    <w:autoSpaceDN w:val="0"/>
                    <w:adjustRightInd w:val="0"/>
                    <w:spacing w:after="0" w:line="252" w:lineRule="auto"/>
                    <w:rPr>
                      <w:rFonts w:ascii="Arial" w:hAnsi="Arial" w:cs="Arial"/>
                      <w:b/>
                      <w:bCs/>
                      <w:i/>
                      <w:iCs/>
                      <w:color w:val="000000"/>
                      <w:sz w:val="16"/>
                      <w:szCs w:val="16"/>
                      <w:lang w:eastAsia="es-MX"/>
                    </w:rPr>
                  </w:pPr>
                  <w:r>
                    <w:rPr>
                      <w:rFonts w:ascii="Arial" w:hAnsi="Arial" w:cs="Arial"/>
                      <w:b/>
                      <w:bCs/>
                      <w:i/>
                      <w:iCs/>
                      <w:color w:val="000000"/>
                      <w:sz w:val="16"/>
                      <w:szCs w:val="16"/>
                      <w:lang w:eastAsia="es-MX"/>
                    </w:rPr>
                    <w:t>125,678,192.17</w:t>
                  </w:r>
                </w:p>
              </w:tc>
            </w:tr>
            <w:tr w:rsidR="006B5BA7">
              <w:tblPrEx>
                <w:tblCellMar>
                  <w:top w:w="0" w:type="dxa"/>
                  <w:bottom w:w="0" w:type="dxa"/>
                </w:tblCellMar>
              </w:tblPrEx>
              <w:tc>
                <w:tcPr>
                  <w:tcW w:w="3961" w:type="dxa"/>
                  <w:tcBorders>
                    <w:top w:val="single" w:sz="6" w:space="0" w:color="auto"/>
                    <w:left w:val="nil"/>
                    <w:bottom w:val="nil"/>
                    <w:right w:val="nil"/>
                  </w:tcBorders>
                </w:tcPr>
                <w:p w:rsidR="006B5BA7" w:rsidRDefault="006B5BA7" w:rsidP="006B5BA7">
                  <w:pPr>
                    <w:autoSpaceDE w:val="0"/>
                    <w:autoSpaceDN w:val="0"/>
                    <w:adjustRightInd w:val="0"/>
                    <w:spacing w:after="0" w:line="252" w:lineRule="auto"/>
                    <w:rPr>
                      <w:rFonts w:ascii="Arial" w:hAnsi="Arial" w:cs="Arial"/>
                      <w:sz w:val="16"/>
                      <w:szCs w:val="16"/>
                      <w:lang w:eastAsia="es-MX"/>
                    </w:rPr>
                  </w:pPr>
                  <w:r>
                    <w:rPr>
                      <w:rFonts w:ascii="Arial" w:hAnsi="Arial" w:cs="Arial"/>
                      <w:i/>
                      <w:iCs/>
                      <w:sz w:val="16"/>
                      <w:szCs w:val="16"/>
                      <w:lang w:eastAsia="es-MX"/>
                    </w:rPr>
                    <w:t>-</w:t>
                  </w:r>
                  <w:r>
                    <w:rPr>
                      <w:rFonts w:ascii="Arial" w:hAnsi="Arial" w:cs="Arial"/>
                      <w:i/>
                      <w:iCs/>
                      <w:sz w:val="16"/>
                      <w:szCs w:val="16"/>
                      <w:lang w:val="es-ES" w:eastAsia="es-MX"/>
                    </w:rPr>
                    <w:t>Mov de partidas (o Rubros) que no Afectan al Efec</w:t>
                  </w:r>
                </w:p>
              </w:tc>
              <w:tc>
                <w:tcPr>
                  <w:tcW w:w="1329" w:type="dxa"/>
                  <w:tcBorders>
                    <w:top w:val="single" w:sz="6" w:space="0" w:color="auto"/>
                    <w:left w:val="nil"/>
                    <w:bottom w:val="nil"/>
                    <w:right w:val="nil"/>
                  </w:tcBorders>
                </w:tcPr>
                <w:p w:rsidR="006B5BA7" w:rsidRDefault="006B5BA7" w:rsidP="006B5BA7">
                  <w:pPr>
                    <w:autoSpaceDE w:val="0"/>
                    <w:autoSpaceDN w:val="0"/>
                    <w:adjustRightInd w:val="0"/>
                    <w:spacing w:after="0" w:line="252" w:lineRule="auto"/>
                    <w:rPr>
                      <w:rFonts w:ascii="Arial" w:hAnsi="Arial" w:cs="Arial"/>
                      <w:i/>
                      <w:iCs/>
                      <w:color w:val="000000"/>
                      <w:sz w:val="16"/>
                      <w:szCs w:val="16"/>
                      <w:lang w:eastAsia="es-MX"/>
                    </w:rPr>
                  </w:pPr>
                </w:p>
              </w:tc>
            </w:tr>
            <w:tr w:rsidR="006B5BA7">
              <w:tblPrEx>
                <w:tblCellMar>
                  <w:top w:w="0" w:type="dxa"/>
                  <w:bottom w:w="0" w:type="dxa"/>
                </w:tblCellMar>
              </w:tblPrEx>
              <w:tc>
                <w:tcPr>
                  <w:tcW w:w="3961"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Depreciación</w:t>
                  </w:r>
                </w:p>
              </w:tc>
              <w:tc>
                <w:tcPr>
                  <w:tcW w:w="1329"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6B5BA7">
              <w:tblPrEx>
                <w:tblCellMar>
                  <w:top w:w="0" w:type="dxa"/>
                  <w:bottom w:w="0" w:type="dxa"/>
                </w:tblCellMar>
              </w:tblPrEx>
              <w:tc>
                <w:tcPr>
                  <w:tcW w:w="3961"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Amortización</w:t>
                  </w:r>
                </w:p>
              </w:tc>
              <w:tc>
                <w:tcPr>
                  <w:tcW w:w="1329"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6B5BA7">
              <w:tblPrEx>
                <w:tblCellMar>
                  <w:top w:w="0" w:type="dxa"/>
                  <w:bottom w:w="0" w:type="dxa"/>
                </w:tblCellMar>
              </w:tblPrEx>
              <w:tc>
                <w:tcPr>
                  <w:tcW w:w="3961"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Incrementos en las Provisiones</w:t>
                  </w:r>
                </w:p>
              </w:tc>
              <w:tc>
                <w:tcPr>
                  <w:tcW w:w="1329"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6B5BA7">
              <w:tblPrEx>
                <w:tblCellMar>
                  <w:top w:w="0" w:type="dxa"/>
                  <w:bottom w:w="0" w:type="dxa"/>
                </w:tblCellMar>
              </w:tblPrEx>
              <w:tc>
                <w:tcPr>
                  <w:tcW w:w="3961"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Incremento en Inv Producido por Revaluación</w:t>
                  </w:r>
                </w:p>
              </w:tc>
              <w:tc>
                <w:tcPr>
                  <w:tcW w:w="1329"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6B5BA7">
              <w:tblPrEx>
                <w:tblCellMar>
                  <w:top w:w="0" w:type="dxa"/>
                  <w:bottom w:w="0" w:type="dxa"/>
                </w:tblCellMar>
              </w:tblPrEx>
              <w:tc>
                <w:tcPr>
                  <w:tcW w:w="3961"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Ganancia/Pérdida en Vta de Propiedad, Planta y Equi</w:t>
                  </w:r>
                </w:p>
              </w:tc>
              <w:tc>
                <w:tcPr>
                  <w:tcW w:w="1329"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6B5BA7">
              <w:tblPrEx>
                <w:tblCellMar>
                  <w:top w:w="0" w:type="dxa"/>
                  <w:bottom w:w="0" w:type="dxa"/>
                </w:tblCellMar>
              </w:tblPrEx>
              <w:tc>
                <w:tcPr>
                  <w:tcW w:w="3961"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Incremento en Cuentas por Cobrar</w:t>
                  </w:r>
                </w:p>
              </w:tc>
              <w:tc>
                <w:tcPr>
                  <w:tcW w:w="1329"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6B5BA7">
              <w:tblPrEx>
                <w:tblCellMar>
                  <w:top w:w="0" w:type="dxa"/>
                  <w:bottom w:w="0" w:type="dxa"/>
                </w:tblCellMar>
              </w:tblPrEx>
              <w:tc>
                <w:tcPr>
                  <w:tcW w:w="3961"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Partidas Extraordinarias</w:t>
                  </w:r>
                </w:p>
              </w:tc>
              <w:tc>
                <w:tcPr>
                  <w:tcW w:w="13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bl>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p>
          <w:p w:rsidR="006B5BA7" w:rsidRDefault="006B5BA7" w:rsidP="006B5BA7">
            <w:pPr>
              <w:autoSpaceDE w:val="0"/>
              <w:autoSpaceDN w:val="0"/>
              <w:adjustRightInd w:val="0"/>
              <w:spacing w:after="0" w:line="240" w:lineRule="exact"/>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que aparecen en el cuadro anterior no son exhaustivas y tienen como finalidad ejemplificar el formato que se sugiere para elaborar la nota.</w:t>
            </w: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V) Conciliación entre los ingresos presupuestarios y contables, así como entre los egresos presupuestarios y los gastos contables</w:t>
            </w:r>
          </w:p>
          <w:p w:rsidR="006B5BA7" w:rsidRDefault="006B5BA7" w:rsidP="006B5BA7">
            <w:pPr>
              <w:autoSpaceDE w:val="0"/>
              <w:autoSpaceDN w:val="0"/>
              <w:adjustRightInd w:val="0"/>
              <w:spacing w:after="0" w:line="240" w:lineRule="exact"/>
              <w:ind w:firstLine="288"/>
              <w:jc w:val="center"/>
              <w:rPr>
                <w:rFonts w:ascii="Arial" w:hAnsi="Arial" w:cs="Arial"/>
                <w:b/>
                <w:bCs/>
                <w:sz w:val="18"/>
                <w:szCs w:val="18"/>
                <w:lang w:eastAsia="es-MX"/>
              </w:rPr>
            </w:pP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 conciliación se presentará atendiendo a lo dispuesto por la Acuerdo por el que se emite el formato de conciliación entre los ingresos presupuestarios y contables, así como entre los egresos presupuestarios y los gastos contables.</w:t>
            </w: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left="993"/>
              <w:jc w:val="both"/>
              <w:rPr>
                <w:rFonts w:ascii="Arial" w:hAnsi="Arial" w:cs="Arial"/>
                <w:sz w:val="18"/>
                <w:szCs w:val="18"/>
                <w:lang w:eastAsia="es-MX"/>
              </w:rPr>
            </w:pPr>
            <w:r>
              <w:rPr>
                <w:rFonts w:ascii="Arial" w:hAnsi="Arial" w:cs="Arial"/>
                <w:sz w:val="18"/>
                <w:szCs w:val="18"/>
                <w:lang w:eastAsia="es-MX"/>
              </w:rPr>
              <w:t>Conciliación entre los Ingresos Presupuestarios y Contables Enero a Junio 2023</w:t>
            </w:r>
          </w:p>
          <w:tbl>
            <w:tblPr>
              <w:tblW w:w="0" w:type="auto"/>
              <w:tblInd w:w="1063" w:type="dxa"/>
              <w:tblCellMar>
                <w:left w:w="70" w:type="dxa"/>
                <w:right w:w="70" w:type="dxa"/>
              </w:tblCellMar>
              <w:tblLook w:val="0000" w:firstRow="0" w:lastRow="0" w:firstColumn="0" w:lastColumn="0" w:noHBand="0" w:noVBand="0"/>
            </w:tblPr>
            <w:tblGrid>
              <w:gridCol w:w="261"/>
              <w:gridCol w:w="158"/>
              <w:gridCol w:w="4271"/>
              <w:gridCol w:w="1517"/>
              <w:gridCol w:w="1326"/>
            </w:tblGrid>
            <w:tr w:rsidR="006B5BA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b/>
                      <w:bCs/>
                      <w:color w:val="000000"/>
                      <w:sz w:val="16"/>
                      <w:szCs w:val="16"/>
                      <w:lang w:eastAsia="es-MX"/>
                    </w:rPr>
                  </w:pPr>
                  <w:r>
                    <w:rPr>
                      <w:rFonts w:ascii="Arial" w:hAnsi="Arial" w:cs="Arial"/>
                      <w:b/>
                      <w:bCs/>
                      <w:color w:val="000000"/>
                      <w:sz w:val="16"/>
                      <w:szCs w:val="16"/>
                      <w:lang w:eastAsia="es-MX"/>
                    </w:rPr>
                    <w:t>Total de Ingresos (Presupuestarios)</w:t>
                  </w:r>
                </w:p>
              </w:tc>
              <w:tc>
                <w:tcPr>
                  <w:tcW w:w="1701"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b/>
                      <w:bCs/>
                      <w:color w:val="000000"/>
                      <w:sz w:val="16"/>
                      <w:szCs w:val="16"/>
                      <w:lang w:eastAsia="es-MX"/>
                    </w:rPr>
                  </w:pPr>
                  <w:r>
                    <w:rPr>
                      <w:rFonts w:ascii="Arial" w:hAnsi="Arial" w:cs="Arial"/>
                      <w:b/>
                      <w:bCs/>
                      <w:color w:val="000000"/>
                      <w:sz w:val="16"/>
                      <w:szCs w:val="16"/>
                      <w:lang w:eastAsia="es-MX"/>
                    </w:rPr>
                    <w:t>$29,508,403.40</w:t>
                  </w:r>
                </w:p>
              </w:tc>
            </w:tr>
            <w:tr w:rsidR="006B5BA7">
              <w:tblPrEx>
                <w:tblCellMar>
                  <w:top w:w="0" w:type="dxa"/>
                  <w:bottom w:w="0" w:type="dxa"/>
                </w:tblCellMar>
              </w:tblPrEx>
              <w:tc>
                <w:tcPr>
                  <w:tcW w:w="283"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r>
            <w:tr w:rsidR="006B5BA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b/>
                      <w:bCs/>
                      <w:color w:val="000000"/>
                      <w:sz w:val="16"/>
                      <w:szCs w:val="16"/>
                      <w:lang w:eastAsia="es-MX"/>
                    </w:rPr>
                  </w:pPr>
                  <w:r>
                    <w:rPr>
                      <w:rFonts w:ascii="Arial" w:hAnsi="Arial" w:cs="Arial"/>
                      <w:b/>
                      <w:bCs/>
                      <w:color w:val="000000"/>
                      <w:sz w:val="16"/>
                      <w:szCs w:val="16"/>
                      <w:lang w:eastAsia="es-MX"/>
                    </w:rPr>
                    <w:t>Ingresos Contables no Contables</w:t>
                  </w:r>
                </w:p>
              </w:tc>
              <w:tc>
                <w:tcPr>
                  <w:tcW w:w="1701"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b/>
                      <w:bCs/>
                      <w:color w:val="000000"/>
                      <w:sz w:val="16"/>
                      <w:szCs w:val="16"/>
                      <w:lang w:eastAsia="es-MX"/>
                    </w:rPr>
                  </w:pPr>
                  <w:r>
                    <w:rPr>
                      <w:rFonts w:ascii="Arial" w:hAnsi="Arial" w:cs="Arial"/>
                      <w:b/>
                      <w:bCs/>
                      <w:color w:val="000000"/>
                      <w:sz w:val="16"/>
                      <w:szCs w:val="16"/>
                      <w:lang w:eastAsia="es-MX"/>
                    </w:rPr>
                    <w:t>$0.00</w:t>
                  </w:r>
                </w:p>
              </w:tc>
            </w:tr>
            <w:tr w:rsidR="006B5BA7">
              <w:tblPrEx>
                <w:tblCellMar>
                  <w:top w:w="0" w:type="dxa"/>
                  <w:bottom w:w="0" w:type="dxa"/>
                </w:tblCellMar>
              </w:tblPrEx>
              <w:tc>
                <w:tcPr>
                  <w:tcW w:w="28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Incremento por variación de Inventarios</w:t>
                  </w:r>
                </w:p>
              </w:tc>
              <w:tc>
                <w:tcPr>
                  <w:tcW w:w="1701" w:type="dxa"/>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r>
            <w:tr w:rsidR="006B5BA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del exceso de estim por pérdida o deterioro u obs</w:t>
                  </w:r>
                </w:p>
              </w:tc>
              <w:tc>
                <w:tcPr>
                  <w:tcW w:w="1701" w:type="dxa"/>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r>
            <w:tr w:rsidR="006B5BA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del exceso de provisiones</w:t>
                  </w:r>
                </w:p>
              </w:tc>
              <w:tc>
                <w:tcPr>
                  <w:tcW w:w="1701" w:type="dxa"/>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r>
            <w:tr w:rsidR="006B5BA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y beneficios varios</w:t>
                  </w:r>
                </w:p>
              </w:tc>
              <w:tc>
                <w:tcPr>
                  <w:tcW w:w="1701" w:type="dxa"/>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r>
            <w:tr w:rsidR="006B5BA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Contables no Presupuestarios</w:t>
                  </w:r>
                </w:p>
              </w:tc>
              <w:tc>
                <w:tcPr>
                  <w:tcW w:w="1701" w:type="dxa"/>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r>
            <w:tr w:rsidR="006B5BA7">
              <w:tblPrEx>
                <w:tblCellMar>
                  <w:top w:w="0" w:type="dxa"/>
                  <w:bottom w:w="0" w:type="dxa"/>
                </w:tblCellMar>
              </w:tblPrEx>
              <w:tc>
                <w:tcPr>
                  <w:tcW w:w="283"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r>
            <w:tr w:rsidR="006B5BA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Presupuestarios no Contables</w:t>
                  </w:r>
                </w:p>
              </w:tc>
              <w:tc>
                <w:tcPr>
                  <w:tcW w:w="1701"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6B5BA7">
              <w:tblPrEx>
                <w:tblCellMar>
                  <w:top w:w="0" w:type="dxa"/>
                  <w:bottom w:w="0" w:type="dxa"/>
                </w:tblCellMar>
              </w:tblPrEx>
              <w:tc>
                <w:tcPr>
                  <w:tcW w:w="28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Productos de Capital</w:t>
                  </w:r>
                </w:p>
              </w:tc>
              <w:tc>
                <w:tcPr>
                  <w:tcW w:w="1701" w:type="dxa"/>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r>
            <w:tr w:rsidR="006B5BA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Aprovechamientos de Capital</w:t>
                  </w:r>
                </w:p>
              </w:tc>
              <w:tc>
                <w:tcPr>
                  <w:tcW w:w="1701" w:type="dxa"/>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r>
            <w:tr w:rsidR="006B5BA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derivados de Financiamientos</w:t>
                  </w:r>
                </w:p>
              </w:tc>
              <w:tc>
                <w:tcPr>
                  <w:tcW w:w="1701" w:type="dxa"/>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r>
            <w:tr w:rsidR="006B5BA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Presupuestarios no Contables</w:t>
                  </w:r>
                </w:p>
              </w:tc>
              <w:tc>
                <w:tcPr>
                  <w:tcW w:w="1701" w:type="dxa"/>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r>
            <w:tr w:rsidR="006B5BA7">
              <w:tblPrEx>
                <w:tblCellMar>
                  <w:top w:w="0" w:type="dxa"/>
                  <w:bottom w:w="0" w:type="dxa"/>
                </w:tblCellMar>
              </w:tblPrEx>
              <w:tc>
                <w:tcPr>
                  <w:tcW w:w="283"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r>
            <w:tr w:rsidR="006B5BA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b/>
                      <w:bCs/>
                      <w:color w:val="000000"/>
                      <w:sz w:val="16"/>
                      <w:szCs w:val="16"/>
                      <w:lang w:eastAsia="es-MX"/>
                    </w:rPr>
                  </w:pPr>
                  <w:r>
                    <w:rPr>
                      <w:rFonts w:ascii="Arial" w:hAnsi="Arial" w:cs="Arial"/>
                      <w:b/>
                      <w:bCs/>
                      <w:color w:val="000000"/>
                      <w:sz w:val="16"/>
                      <w:szCs w:val="16"/>
                      <w:lang w:eastAsia="es-MX"/>
                    </w:rPr>
                    <w:t>Total Ingresos Contables</w:t>
                  </w:r>
                </w:p>
              </w:tc>
              <w:tc>
                <w:tcPr>
                  <w:tcW w:w="1701" w:type="dxa"/>
                  <w:tcBorders>
                    <w:top w:val="single" w:sz="6" w:space="0" w:color="auto"/>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b/>
                      <w:bCs/>
                      <w:color w:val="000000"/>
                      <w:sz w:val="16"/>
                      <w:szCs w:val="16"/>
                      <w:lang w:eastAsia="es-MX"/>
                    </w:rPr>
                  </w:pPr>
                  <w:r>
                    <w:rPr>
                      <w:rFonts w:ascii="Arial" w:hAnsi="Arial" w:cs="Arial"/>
                      <w:b/>
                      <w:bCs/>
                      <w:color w:val="000000"/>
                      <w:sz w:val="16"/>
                      <w:szCs w:val="16"/>
                      <w:lang w:eastAsia="es-MX"/>
                    </w:rPr>
                    <w:t>$29,508,403.40</w:t>
                  </w:r>
                </w:p>
              </w:tc>
            </w:tr>
          </w:tbl>
          <w:p w:rsidR="006B5BA7" w:rsidRDefault="006B5BA7" w:rsidP="006B5BA7">
            <w:pPr>
              <w:autoSpaceDE w:val="0"/>
              <w:autoSpaceDN w:val="0"/>
              <w:adjustRightInd w:val="0"/>
              <w:spacing w:after="0" w:line="240" w:lineRule="exact"/>
              <w:ind w:left="3540" w:firstLine="288"/>
              <w:jc w:val="both"/>
              <w:rPr>
                <w:rFonts w:ascii="Arial" w:hAnsi="Arial" w:cs="Arial"/>
                <w:i/>
                <w:iCs/>
                <w:sz w:val="12"/>
                <w:szCs w:val="12"/>
                <w:lang w:eastAsia="es-MX"/>
              </w:rPr>
            </w:pPr>
            <w:r>
              <w:rPr>
                <w:rFonts w:ascii="Arial" w:hAnsi="Arial" w:cs="Arial"/>
                <w:i/>
                <w:iCs/>
                <w:sz w:val="12"/>
                <w:szCs w:val="12"/>
                <w:lang w:eastAsia="es-MX"/>
              </w:rPr>
              <w:t xml:space="preserve">            Origen: Formato de Conciliación entre los Ingresos Presupuestarios y Contables</w:t>
            </w:r>
          </w:p>
          <w:p w:rsidR="006B5BA7" w:rsidRDefault="006B5BA7" w:rsidP="006B5BA7">
            <w:pPr>
              <w:autoSpaceDE w:val="0"/>
              <w:autoSpaceDN w:val="0"/>
              <w:adjustRightInd w:val="0"/>
              <w:spacing w:after="0" w:line="240" w:lineRule="exact"/>
              <w:ind w:left="3540" w:firstLine="288"/>
              <w:jc w:val="both"/>
              <w:rPr>
                <w:rFonts w:ascii="Arial" w:hAnsi="Arial" w:cs="Arial"/>
                <w:i/>
                <w:iCs/>
                <w:sz w:val="12"/>
                <w:szCs w:val="12"/>
                <w:lang w:eastAsia="es-MX"/>
              </w:rPr>
            </w:pPr>
          </w:p>
          <w:p w:rsidR="006B5BA7" w:rsidRDefault="006B5BA7" w:rsidP="006B5BA7">
            <w:pPr>
              <w:autoSpaceDE w:val="0"/>
              <w:autoSpaceDN w:val="0"/>
              <w:adjustRightInd w:val="0"/>
              <w:spacing w:after="0" w:line="240" w:lineRule="exact"/>
              <w:ind w:left="3540" w:firstLine="288"/>
              <w:jc w:val="both"/>
              <w:rPr>
                <w:rFonts w:ascii="Arial" w:hAnsi="Arial" w:cs="Arial"/>
                <w:i/>
                <w:iCs/>
                <w:sz w:val="12"/>
                <w:szCs w:val="12"/>
                <w:lang w:eastAsia="es-MX"/>
              </w:rPr>
            </w:pPr>
          </w:p>
          <w:p w:rsidR="006B5BA7" w:rsidRDefault="006B5BA7" w:rsidP="006B5BA7">
            <w:pPr>
              <w:autoSpaceDE w:val="0"/>
              <w:autoSpaceDN w:val="0"/>
              <w:adjustRightInd w:val="0"/>
              <w:spacing w:after="0" w:line="240" w:lineRule="exact"/>
              <w:ind w:left="3540" w:firstLine="288"/>
              <w:jc w:val="both"/>
              <w:rPr>
                <w:rFonts w:ascii="Arial" w:hAnsi="Arial" w:cs="Arial"/>
                <w:i/>
                <w:iCs/>
                <w:sz w:val="12"/>
                <w:szCs w:val="12"/>
                <w:lang w:eastAsia="es-MX"/>
              </w:rPr>
            </w:pPr>
          </w:p>
          <w:p w:rsidR="006B5BA7" w:rsidRDefault="006B5BA7" w:rsidP="006B5BA7">
            <w:pPr>
              <w:autoSpaceDE w:val="0"/>
              <w:autoSpaceDN w:val="0"/>
              <w:adjustRightInd w:val="0"/>
              <w:spacing w:after="0" w:line="240" w:lineRule="exact"/>
              <w:ind w:left="993"/>
              <w:jc w:val="both"/>
              <w:rPr>
                <w:rFonts w:ascii="Arial" w:hAnsi="Arial" w:cs="Arial"/>
                <w:i/>
                <w:iCs/>
                <w:sz w:val="18"/>
                <w:szCs w:val="18"/>
                <w:lang w:eastAsia="es-MX"/>
              </w:rPr>
            </w:pPr>
            <w:r>
              <w:rPr>
                <w:rFonts w:ascii="Arial" w:hAnsi="Arial" w:cs="Arial"/>
                <w:i/>
                <w:iCs/>
                <w:sz w:val="18"/>
                <w:szCs w:val="18"/>
                <w:lang w:eastAsia="es-MX"/>
              </w:rPr>
              <w:t>Conciliación entre los Egresos Presupuestarios y los Gastos Contables Enero a Junio 2023</w:t>
            </w:r>
          </w:p>
          <w:p w:rsidR="006B5BA7" w:rsidRDefault="006B5BA7" w:rsidP="006B5BA7">
            <w:pPr>
              <w:autoSpaceDE w:val="0"/>
              <w:autoSpaceDN w:val="0"/>
              <w:adjustRightInd w:val="0"/>
              <w:spacing w:after="0" w:line="240" w:lineRule="exact"/>
              <w:ind w:left="993"/>
              <w:jc w:val="both"/>
              <w:rPr>
                <w:rFonts w:ascii="Arial" w:hAnsi="Arial" w:cs="Arial"/>
                <w:i/>
                <w:iCs/>
                <w:sz w:val="18"/>
                <w:szCs w:val="18"/>
                <w:lang w:eastAsia="es-MX"/>
              </w:rPr>
            </w:pPr>
          </w:p>
          <w:tbl>
            <w:tblPr>
              <w:tblW w:w="0" w:type="auto"/>
              <w:tblInd w:w="1060" w:type="dxa"/>
              <w:tblCellMar>
                <w:left w:w="70" w:type="dxa"/>
                <w:right w:w="70" w:type="dxa"/>
              </w:tblCellMar>
              <w:tblLook w:val="0000" w:firstRow="0" w:lastRow="0" w:firstColumn="0" w:lastColumn="0" w:noHBand="0" w:noVBand="0"/>
            </w:tblPr>
            <w:tblGrid>
              <w:gridCol w:w="345"/>
              <w:gridCol w:w="516"/>
              <w:gridCol w:w="4140"/>
              <w:gridCol w:w="572"/>
              <w:gridCol w:w="569"/>
              <w:gridCol w:w="970"/>
              <w:gridCol w:w="424"/>
            </w:tblGrid>
            <w:tr w:rsidR="006B5BA7">
              <w:tblPrEx>
                <w:tblCellMar>
                  <w:top w:w="0" w:type="dxa"/>
                  <w:bottom w:w="0" w:type="dxa"/>
                </w:tblCellMar>
              </w:tblPrEx>
              <w:trPr>
                <w:gridAfter w:val="1"/>
                <w:wAfter w:w="525" w:type="dxa"/>
              </w:trPr>
              <w:tc>
                <w:tcPr>
                  <w:tcW w:w="6399" w:type="dxa"/>
                  <w:gridSpan w:val="4"/>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Total de Egresos (Presupuestarios)    </w:t>
                  </w:r>
                </w:p>
              </w:tc>
              <w:tc>
                <w:tcPr>
                  <w:tcW w:w="1608" w:type="dxa"/>
                  <w:gridSpan w:val="2"/>
                  <w:tcBorders>
                    <w:top w:val="single" w:sz="6" w:space="0" w:color="auto"/>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$23,841,478.67     </w:t>
                  </w:r>
                </w:p>
              </w:tc>
            </w:tr>
            <w:tr w:rsidR="006B5BA7">
              <w:tblPrEx>
                <w:tblCellMar>
                  <w:top w:w="0" w:type="dxa"/>
                  <w:bottom w:w="0" w:type="dxa"/>
                </w:tblCellMar>
              </w:tblPrEx>
              <w:trPr>
                <w:gridAfter w:val="1"/>
                <w:wAfter w:w="525" w:type="dxa"/>
              </w:trPr>
              <w:tc>
                <w:tcPr>
                  <w:tcW w:w="8007" w:type="dxa"/>
                  <w:gridSpan w:val="6"/>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r>
            <w:tr w:rsidR="006B5BA7">
              <w:tblPrEx>
                <w:tblCellMar>
                  <w:top w:w="0" w:type="dxa"/>
                  <w:bottom w:w="0" w:type="dxa"/>
                </w:tblCellMar>
              </w:tblPrEx>
              <w:trPr>
                <w:gridAfter w:val="1"/>
                <w:wAfter w:w="525" w:type="dxa"/>
              </w:trPr>
              <w:tc>
                <w:tcPr>
                  <w:tcW w:w="6399" w:type="dxa"/>
                  <w:gridSpan w:val="4"/>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Egresos Presupuestarios no Contables</w:t>
                  </w:r>
                </w:p>
              </w:tc>
              <w:tc>
                <w:tcPr>
                  <w:tcW w:w="1608" w:type="dxa"/>
                  <w:gridSpan w:val="2"/>
                  <w:tcBorders>
                    <w:top w:val="single" w:sz="6" w:space="0" w:color="auto"/>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$987,013.84</w:t>
                  </w: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Mobiliario y Equipo de Administración</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$43,313.57</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Mobiliario y Equipo Educacional y Recreativo</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Equipo e Instrumental Médico y de Laboratorio</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Vehículos y Equipo de Transporte</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Equipo de Defensa y Seguridad</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Maquinaria, Otros Equipos y Herramientas</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Activos Biológicos</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Bienes Inmuebles</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Activos Intangibles</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Obra Pública en Bienes de Dominio Publico</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$786,112.16</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Acciones y Participaciones de Capital</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Compra de Títulos y Valores</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Inversiones en Fideicomisos, Mandatos y otros Análogos</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Provisiones para Contingencias y otras Erogaciones Especiales</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Amortización de la Deuda Pública</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$157,588.11</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Adeudos de Ejercicios Fiscales Anteriores (ADEFAS)</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p>
              </w:tc>
            </w:tr>
            <w:tr w:rsidR="006B5BA7">
              <w:tblPrEx>
                <w:tblCellMar>
                  <w:top w:w="0" w:type="dxa"/>
                  <w:bottom w:w="0" w:type="dxa"/>
                </w:tblCellMar>
              </w:tblPrEx>
              <w:tc>
                <w:tcPr>
                  <w:tcW w:w="5827" w:type="dxa"/>
                  <w:gridSpan w:val="3"/>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Egresos Presupuestales no Contables</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8"/>
                      <w:szCs w:val="18"/>
                      <w:lang w:eastAsia="es-MX"/>
                    </w:rPr>
                  </w:pPr>
                </w:p>
              </w:tc>
            </w:tr>
            <w:tr w:rsidR="006B5BA7">
              <w:tblPrEx>
                <w:tblCellMar>
                  <w:top w:w="0" w:type="dxa"/>
                  <w:bottom w:w="0" w:type="dxa"/>
                </w:tblCellMar>
              </w:tblPrEx>
              <w:tc>
                <w:tcPr>
                  <w:tcW w:w="393"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605"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4829"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1141"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r>
            <w:tr w:rsidR="006B5BA7">
              <w:tblPrEx>
                <w:tblCellMar>
                  <w:top w:w="0" w:type="dxa"/>
                  <w:bottom w:w="0" w:type="dxa"/>
                </w:tblCellMar>
              </w:tblPrEx>
              <w:trPr>
                <w:gridAfter w:val="1"/>
                <w:wAfter w:w="525" w:type="dxa"/>
              </w:trPr>
              <w:tc>
                <w:tcPr>
                  <w:tcW w:w="6399" w:type="dxa"/>
                  <w:gridSpan w:val="4"/>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Gastos Contables no Presupuestales</w:t>
                  </w:r>
                </w:p>
              </w:tc>
              <w:tc>
                <w:tcPr>
                  <w:tcW w:w="1608" w:type="dxa"/>
                  <w:gridSpan w:val="2"/>
                  <w:tcBorders>
                    <w:top w:val="single" w:sz="6" w:space="0" w:color="auto"/>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Estimaciones, Depreciaciones, Deterioros, Obsolescencia y Amortizaciones</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Provisiones</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 Inventarios</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Aumento por Insuf de Estim por Pérdida o Deterioro u Obsolesc</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Aumento por Insuficiencia de Provisiones</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6B5BA7">
              <w:tblPrEx>
                <w:tblCellMar>
                  <w:top w:w="0" w:type="dxa"/>
                  <w:bottom w:w="0" w:type="dxa"/>
                </w:tblCellMar>
              </w:tblPrEx>
              <w:tc>
                <w:tcPr>
                  <w:tcW w:w="393" w:type="dxa"/>
                  <w:tcBorders>
                    <w:top w:val="nil"/>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605"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829" w:type="dxa"/>
                  <w:tcBorders>
                    <w:top w:val="nil"/>
                    <w:left w:val="nil"/>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Gastos</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6B5BA7">
              <w:tblPrEx>
                <w:tblCellMar>
                  <w:top w:w="0" w:type="dxa"/>
                  <w:bottom w:w="0" w:type="dxa"/>
                </w:tblCellMar>
              </w:tblPrEx>
              <w:tc>
                <w:tcPr>
                  <w:tcW w:w="5827" w:type="dxa"/>
                  <w:gridSpan w:val="3"/>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Gastos Contables no Presupuestales</w:t>
                  </w:r>
                </w:p>
              </w:tc>
              <w:tc>
                <w:tcPr>
                  <w:tcW w:w="1141" w:type="dxa"/>
                  <w:gridSpan w:val="2"/>
                  <w:tcBorders>
                    <w:top w:val="nil"/>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6B5BA7">
              <w:tblPrEx>
                <w:tblCellMar>
                  <w:top w:w="0" w:type="dxa"/>
                  <w:bottom w:w="0" w:type="dxa"/>
                </w:tblCellMar>
              </w:tblPrEx>
              <w:tc>
                <w:tcPr>
                  <w:tcW w:w="393"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c>
                <w:tcPr>
                  <w:tcW w:w="605"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c>
                <w:tcPr>
                  <w:tcW w:w="4829" w:type="dxa"/>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c>
                <w:tcPr>
                  <w:tcW w:w="1141"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c>
                <w:tcPr>
                  <w:tcW w:w="1564" w:type="dxa"/>
                  <w:gridSpan w:val="2"/>
                  <w:tcBorders>
                    <w:top w:val="nil"/>
                    <w:left w:val="nil"/>
                    <w:bottom w:val="nil"/>
                    <w:right w:val="nil"/>
                  </w:tcBorders>
                </w:tcPr>
                <w:p w:rsidR="006B5BA7" w:rsidRDefault="006B5BA7" w:rsidP="006B5BA7">
                  <w:pPr>
                    <w:autoSpaceDE w:val="0"/>
                    <w:autoSpaceDN w:val="0"/>
                    <w:adjustRightInd w:val="0"/>
                    <w:spacing w:after="0" w:line="252" w:lineRule="auto"/>
                    <w:rPr>
                      <w:rFonts w:ascii="Arial" w:hAnsi="Arial" w:cs="Arial"/>
                      <w:color w:val="000000"/>
                      <w:sz w:val="6"/>
                      <w:szCs w:val="6"/>
                      <w:lang w:eastAsia="es-MX"/>
                    </w:rPr>
                  </w:pPr>
                </w:p>
              </w:tc>
            </w:tr>
            <w:tr w:rsidR="006B5BA7">
              <w:tblPrEx>
                <w:tblCellMar>
                  <w:top w:w="0" w:type="dxa"/>
                  <w:bottom w:w="0" w:type="dxa"/>
                </w:tblCellMar>
              </w:tblPrEx>
              <w:trPr>
                <w:gridAfter w:val="1"/>
                <w:wAfter w:w="525" w:type="dxa"/>
              </w:trPr>
              <w:tc>
                <w:tcPr>
                  <w:tcW w:w="6399" w:type="dxa"/>
                  <w:gridSpan w:val="4"/>
                  <w:tcBorders>
                    <w:top w:val="single" w:sz="6" w:space="0" w:color="auto"/>
                    <w:left w:val="single" w:sz="6" w:space="0" w:color="auto"/>
                    <w:bottom w:val="single" w:sz="6" w:space="0" w:color="auto"/>
                    <w:right w:val="nil"/>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Total de Gasto Contable </w:t>
                  </w:r>
                </w:p>
              </w:tc>
              <w:tc>
                <w:tcPr>
                  <w:tcW w:w="1608" w:type="dxa"/>
                  <w:gridSpan w:val="2"/>
                  <w:tcBorders>
                    <w:top w:val="single" w:sz="6" w:space="0" w:color="auto"/>
                    <w:left w:val="nil"/>
                    <w:bottom w:val="single" w:sz="6" w:space="0" w:color="auto"/>
                    <w:right w:val="single" w:sz="6" w:space="0" w:color="auto"/>
                  </w:tcBorders>
                </w:tcPr>
                <w:p w:rsidR="006B5BA7" w:rsidRDefault="006B5BA7" w:rsidP="006B5BA7">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$22,854,464.83</w:t>
                  </w:r>
                </w:p>
              </w:tc>
            </w:tr>
          </w:tbl>
          <w:p w:rsidR="006B5BA7" w:rsidRDefault="006B5BA7" w:rsidP="006B5BA7">
            <w:pPr>
              <w:autoSpaceDE w:val="0"/>
              <w:autoSpaceDN w:val="0"/>
              <w:adjustRightInd w:val="0"/>
              <w:spacing w:after="0" w:line="240" w:lineRule="exact"/>
              <w:ind w:left="4248"/>
              <w:jc w:val="both"/>
              <w:rPr>
                <w:rFonts w:ascii="Arial" w:hAnsi="Arial" w:cs="Arial"/>
                <w:i/>
                <w:iCs/>
                <w:sz w:val="12"/>
                <w:szCs w:val="12"/>
                <w:lang w:eastAsia="es-MX"/>
              </w:rPr>
            </w:pPr>
            <w:r>
              <w:rPr>
                <w:rFonts w:ascii="Arial" w:hAnsi="Arial" w:cs="Arial"/>
                <w:i/>
                <w:iCs/>
                <w:sz w:val="12"/>
                <w:szCs w:val="12"/>
                <w:lang w:eastAsia="es-MX"/>
              </w:rPr>
              <w:t>Origen: Formato de Conciliación entre los Ingresos Presupuestarios y Contables</w:t>
            </w: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firstLine="288"/>
              <w:jc w:val="center"/>
              <w:rPr>
                <w:rFonts w:ascii="Arial" w:hAnsi="Arial" w:cs="Arial"/>
                <w:b/>
                <w:bCs/>
                <w:sz w:val="18"/>
                <w:szCs w:val="18"/>
                <w:lang w:eastAsia="es-MX"/>
              </w:rPr>
            </w:pPr>
          </w:p>
          <w:p w:rsidR="006B5BA7" w:rsidRDefault="006B5BA7" w:rsidP="006B5BA7">
            <w:pPr>
              <w:autoSpaceDE w:val="0"/>
              <w:autoSpaceDN w:val="0"/>
              <w:adjustRightInd w:val="0"/>
              <w:spacing w:after="0" w:line="240" w:lineRule="exact"/>
              <w:jc w:val="center"/>
              <w:rPr>
                <w:rFonts w:ascii="Arial" w:hAnsi="Arial" w:cs="Arial"/>
                <w:b/>
                <w:bCs/>
                <w:sz w:val="18"/>
                <w:szCs w:val="18"/>
                <w:lang w:eastAsia="es-MX"/>
              </w:rPr>
            </w:pPr>
            <w:r>
              <w:rPr>
                <w:rFonts w:ascii="Arial" w:hAnsi="Arial" w:cs="Arial"/>
                <w:sz w:val="18"/>
                <w:szCs w:val="18"/>
                <w:lang w:val="es-ES" w:eastAsia="es-MX"/>
              </w:rPr>
              <w:t xml:space="preserve"> </w:t>
            </w:r>
            <w:r>
              <w:rPr>
                <w:rFonts w:ascii="Arial" w:hAnsi="Arial" w:cs="Arial"/>
                <w:b/>
                <w:bCs/>
                <w:sz w:val="18"/>
                <w:szCs w:val="18"/>
                <w:lang w:val="es-ES" w:eastAsia="es-MX"/>
              </w:rPr>
              <w:t>b)</w:t>
            </w:r>
            <w:r>
              <w:rPr>
                <w:rFonts w:ascii="Arial" w:hAnsi="Arial" w:cs="Arial"/>
                <w:sz w:val="18"/>
                <w:szCs w:val="18"/>
                <w:lang w:val="es-ES" w:eastAsia="es-MX"/>
              </w:rPr>
              <w:t xml:space="preserve"> </w:t>
            </w:r>
            <w:r>
              <w:rPr>
                <w:rFonts w:ascii="Arial" w:hAnsi="Arial" w:cs="Arial"/>
                <w:b/>
                <w:bCs/>
                <w:sz w:val="18"/>
                <w:szCs w:val="18"/>
                <w:lang w:eastAsia="es-MX"/>
              </w:rPr>
              <w:t>NOTAS DE MEMORIA (CUENTAS DE ORDEN)</w:t>
            </w:r>
          </w:p>
          <w:p w:rsidR="006B5BA7" w:rsidRDefault="006B5BA7" w:rsidP="006B5BA7">
            <w:pPr>
              <w:autoSpaceDE w:val="0"/>
              <w:autoSpaceDN w:val="0"/>
              <w:adjustRightInd w:val="0"/>
              <w:spacing w:after="0" w:line="240" w:lineRule="exact"/>
              <w:jc w:val="both"/>
              <w:rPr>
                <w:rFonts w:ascii="Arial" w:hAnsi="Arial" w:cs="Arial"/>
                <w:b/>
                <w:bCs/>
                <w:sz w:val="18"/>
                <w:szCs w:val="18"/>
                <w:lang w:eastAsia="es-MX"/>
              </w:rPr>
            </w:pP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que se manejan para efectos de este documento son las siguientes:</w:t>
            </w:r>
          </w:p>
          <w:p w:rsidR="006B5BA7" w:rsidRDefault="006B5BA7" w:rsidP="006B5BA7">
            <w:pPr>
              <w:autoSpaceDE w:val="0"/>
              <w:autoSpaceDN w:val="0"/>
              <w:adjustRightInd w:val="0"/>
              <w:spacing w:after="0" w:line="240" w:lineRule="exact"/>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val="es-ES" w:eastAsia="es-MX"/>
              </w:rPr>
            </w:pPr>
            <w:r>
              <w:rPr>
                <w:rFonts w:ascii="Arial" w:hAnsi="Arial" w:cs="Arial"/>
                <w:b/>
                <w:bCs/>
                <w:sz w:val="18"/>
                <w:szCs w:val="18"/>
                <w:lang w:val="es-ES" w:eastAsia="es-MX"/>
              </w:rPr>
              <w:t>Cuentas de Orden Contables y Presupuestarias:</w:t>
            </w:r>
          </w:p>
          <w:p w:rsidR="006B5BA7" w:rsidRDefault="006B5BA7" w:rsidP="006B5BA7">
            <w:pPr>
              <w:tabs>
                <w:tab w:val="left" w:pos="1257"/>
              </w:tabs>
              <w:autoSpaceDE w:val="0"/>
              <w:autoSpaceDN w:val="0"/>
              <w:adjustRightInd w:val="0"/>
              <w:spacing w:after="0" w:line="240" w:lineRule="exact"/>
              <w:ind w:firstLine="288"/>
              <w:rPr>
                <w:rFonts w:ascii="Arial" w:hAnsi="Arial" w:cs="Arial"/>
                <w:b/>
                <w:bCs/>
                <w:sz w:val="18"/>
                <w:szCs w:val="18"/>
                <w:lang w:val="es-ES" w:eastAsia="es-MX"/>
              </w:rPr>
            </w:pPr>
            <w:r>
              <w:rPr>
                <w:rFonts w:ascii="Arial" w:hAnsi="Arial" w:cs="Arial"/>
                <w:b/>
                <w:bCs/>
                <w:sz w:val="18"/>
                <w:szCs w:val="18"/>
                <w:lang w:val="es-ES" w:eastAsia="es-MX"/>
              </w:rPr>
              <w:tab/>
            </w:r>
          </w:p>
          <w:p w:rsidR="006B5BA7" w:rsidRDefault="006B5BA7" w:rsidP="006B5BA7">
            <w:pPr>
              <w:autoSpaceDE w:val="0"/>
              <w:autoSpaceDN w:val="0"/>
              <w:adjustRightInd w:val="0"/>
              <w:spacing w:after="0" w:line="240" w:lineRule="exact"/>
              <w:ind w:left="2160" w:hanging="540"/>
              <w:jc w:val="both"/>
              <w:rPr>
                <w:rFonts w:ascii="Arial" w:hAnsi="Arial" w:cs="Arial"/>
                <w:i/>
                <w:iCs/>
                <w:sz w:val="18"/>
                <w:szCs w:val="18"/>
                <w:lang w:val="es-ES" w:eastAsia="es-MX"/>
              </w:rPr>
            </w:pPr>
            <w:r>
              <w:rPr>
                <w:rFonts w:ascii="Arial" w:hAnsi="Arial" w:cs="Arial"/>
                <w:i/>
                <w:iCs/>
                <w:sz w:val="18"/>
                <w:szCs w:val="18"/>
                <w:lang w:val="es-ES" w:eastAsia="es-MX"/>
              </w:rPr>
              <w:t>Contables:</w:t>
            </w:r>
          </w:p>
          <w:p w:rsidR="006B5BA7" w:rsidRDefault="006B5BA7" w:rsidP="006B5BA7">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Valores</w:t>
            </w:r>
          </w:p>
          <w:p w:rsidR="006B5BA7" w:rsidRDefault="006B5BA7" w:rsidP="006B5BA7">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Emisión de obligaciones</w:t>
            </w:r>
          </w:p>
          <w:p w:rsidR="006B5BA7" w:rsidRDefault="006B5BA7" w:rsidP="006B5BA7">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Avales y garantías</w:t>
            </w:r>
          </w:p>
          <w:p w:rsidR="006B5BA7" w:rsidRDefault="006B5BA7" w:rsidP="006B5BA7">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Juicios</w:t>
            </w:r>
          </w:p>
          <w:p w:rsidR="006B5BA7" w:rsidRDefault="006B5BA7" w:rsidP="006B5BA7">
            <w:pPr>
              <w:autoSpaceDE w:val="0"/>
              <w:autoSpaceDN w:val="0"/>
              <w:adjustRightInd w:val="0"/>
              <w:spacing w:after="0" w:line="240" w:lineRule="exact"/>
              <w:ind w:left="2160" w:hanging="540"/>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left="2160" w:hanging="540"/>
              <w:jc w:val="both"/>
              <w:rPr>
                <w:rFonts w:ascii="Arial" w:hAnsi="Arial" w:cs="Arial"/>
                <w:i/>
                <w:iCs/>
                <w:sz w:val="18"/>
                <w:szCs w:val="18"/>
                <w:lang w:val="es-ES" w:eastAsia="es-MX"/>
              </w:rPr>
            </w:pPr>
            <w:r>
              <w:rPr>
                <w:rFonts w:ascii="Arial" w:hAnsi="Arial" w:cs="Arial"/>
                <w:i/>
                <w:iCs/>
                <w:sz w:val="18"/>
                <w:szCs w:val="18"/>
                <w:lang w:val="es-ES" w:eastAsia="es-MX"/>
              </w:rPr>
              <w:t>Presupuestarias:</w:t>
            </w:r>
          </w:p>
          <w:p w:rsidR="006B5BA7" w:rsidRDefault="006B5BA7" w:rsidP="006B5BA7">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Cuentas de ingresos</w:t>
            </w:r>
          </w:p>
          <w:p w:rsidR="006B5BA7" w:rsidRDefault="006B5BA7" w:rsidP="006B5BA7">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Cuentas de egresos</w:t>
            </w:r>
          </w:p>
          <w:p w:rsidR="006B5BA7" w:rsidRDefault="006B5BA7" w:rsidP="006B5BA7">
            <w:pPr>
              <w:autoSpaceDE w:val="0"/>
              <w:autoSpaceDN w:val="0"/>
              <w:adjustRightInd w:val="0"/>
              <w:spacing w:after="0" w:line="240" w:lineRule="exact"/>
              <w:ind w:left="2160" w:hanging="540"/>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val="es-ES" w:eastAsia="es-MX"/>
              </w:rPr>
              <w:t>Se informará,</w:t>
            </w:r>
            <w:r>
              <w:rPr>
                <w:rFonts w:ascii="Arial" w:hAnsi="Arial" w:cs="Arial"/>
                <w:sz w:val="18"/>
                <w:szCs w:val="18"/>
                <w:lang w:eastAsia="es-MX"/>
              </w:rPr>
              <w:t xml:space="preserve"> de manera agrupada, en las notas a los Estados Financieros las cuentas de orden contables y cuentas de orden presupuestario:</w:t>
            </w: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 Los valores en custodia de instrumentos prestados a formadores de mercado e instrumentos de crédito recibidos en garantía de los formadores de mercado u otros.</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2. Por tipo de emisión de instrumento: monto, tasa y vencimiento.</w:t>
            </w:r>
          </w:p>
          <w:p w:rsidR="006B5BA7" w:rsidRDefault="006B5BA7" w:rsidP="006B5BA7">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 Los contratos firmados de construcciones por tipo de contrato.</w:t>
            </w:r>
          </w:p>
          <w:p w:rsidR="006B5BA7" w:rsidRDefault="006B5BA7" w:rsidP="006B5BA7">
            <w:pPr>
              <w:autoSpaceDE w:val="0"/>
              <w:autoSpaceDN w:val="0"/>
              <w:adjustRightInd w:val="0"/>
              <w:spacing w:after="0" w:line="240" w:lineRule="exact"/>
              <w:jc w:val="both"/>
              <w:rPr>
                <w:rFonts w:ascii="Arial" w:hAnsi="Arial" w:cs="Arial"/>
                <w:b/>
                <w:bCs/>
                <w:sz w:val="18"/>
                <w:szCs w:val="18"/>
                <w:lang w:eastAsia="es-MX"/>
              </w:rPr>
            </w:pPr>
          </w:p>
          <w:p w:rsidR="006B5BA7" w:rsidRDefault="006B5BA7" w:rsidP="006B5BA7">
            <w:pPr>
              <w:autoSpaceDE w:val="0"/>
              <w:autoSpaceDN w:val="0"/>
              <w:adjustRightInd w:val="0"/>
              <w:spacing w:after="0" w:line="240" w:lineRule="exact"/>
              <w:jc w:val="center"/>
              <w:rPr>
                <w:rFonts w:ascii="Arial" w:hAnsi="Arial" w:cs="Arial"/>
                <w:b/>
                <w:bCs/>
                <w:sz w:val="18"/>
                <w:szCs w:val="18"/>
                <w:lang w:eastAsia="es-MX"/>
              </w:rPr>
            </w:pPr>
          </w:p>
          <w:p w:rsidR="006B5BA7" w:rsidRDefault="006B5BA7" w:rsidP="006B5BA7">
            <w:pPr>
              <w:autoSpaceDE w:val="0"/>
              <w:autoSpaceDN w:val="0"/>
              <w:adjustRightInd w:val="0"/>
              <w:spacing w:after="0" w:line="240" w:lineRule="exact"/>
              <w:jc w:val="center"/>
              <w:rPr>
                <w:rFonts w:ascii="Arial" w:hAnsi="Arial" w:cs="Arial"/>
                <w:b/>
                <w:bCs/>
                <w:sz w:val="18"/>
                <w:szCs w:val="18"/>
                <w:lang w:eastAsia="es-MX"/>
              </w:rPr>
            </w:pPr>
            <w:r>
              <w:rPr>
                <w:rFonts w:ascii="Arial" w:hAnsi="Arial" w:cs="Arial"/>
                <w:b/>
                <w:bCs/>
                <w:sz w:val="18"/>
                <w:szCs w:val="18"/>
                <w:lang w:eastAsia="es-MX"/>
              </w:rPr>
              <w:t>c) NOTAS DE GESTIÓN ADMINISTRATIVA</w:t>
            </w:r>
          </w:p>
          <w:p w:rsidR="006B5BA7" w:rsidRDefault="006B5BA7" w:rsidP="006B5BA7">
            <w:pPr>
              <w:autoSpaceDE w:val="0"/>
              <w:autoSpaceDN w:val="0"/>
              <w:adjustRightInd w:val="0"/>
              <w:spacing w:after="0" w:line="240" w:lineRule="exact"/>
              <w:rPr>
                <w:rFonts w:ascii="Arial" w:hAnsi="Arial" w:cs="Arial"/>
                <w:b/>
                <w:bCs/>
                <w:sz w:val="18"/>
                <w:szCs w:val="18"/>
                <w:lang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val="es-ES" w:eastAsia="es-MX"/>
              </w:rPr>
            </w:pPr>
            <w:r>
              <w:rPr>
                <w:rFonts w:ascii="Arial" w:hAnsi="Arial" w:cs="Arial"/>
                <w:b/>
                <w:bCs/>
                <w:sz w:val="18"/>
                <w:szCs w:val="18"/>
                <w:lang w:eastAsia="es-MX"/>
              </w:rPr>
              <w:t>1.</w:t>
            </w:r>
            <w:r>
              <w:rPr>
                <w:rFonts w:ascii="Arial" w:hAnsi="Arial" w:cs="Arial"/>
                <w:b/>
                <w:bCs/>
                <w:sz w:val="18"/>
                <w:szCs w:val="18"/>
                <w:lang w:eastAsia="es-MX"/>
              </w:rPr>
              <w:tab/>
              <w:t>Introducción</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Los Estados Financieros de los entes públicos, proveen de información financiera a los principales usuarios de la misma, al Congreso y a los ciudadanos.</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2.</w:t>
            </w:r>
            <w:r>
              <w:rPr>
                <w:rFonts w:ascii="Arial" w:hAnsi="Arial" w:cs="Arial"/>
                <w:b/>
                <w:bCs/>
                <w:sz w:val="18"/>
                <w:szCs w:val="18"/>
                <w:lang w:eastAsia="es-MX"/>
              </w:rPr>
              <w:tab/>
              <w:t>Panorama Económico y Financiero</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 las principales condiciones económico- financieras bajo las cuales el ente público estuvo operando; y las cuales influyeron en la toma de decisiones de la administración; tanto a nivel local como federal.</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3.</w:t>
            </w:r>
            <w:r>
              <w:rPr>
                <w:rFonts w:ascii="Arial" w:hAnsi="Arial" w:cs="Arial"/>
                <w:b/>
                <w:bCs/>
                <w:sz w:val="18"/>
                <w:szCs w:val="18"/>
                <w:lang w:eastAsia="es-MX"/>
              </w:rPr>
              <w:tab/>
              <w:t>Autorización e Historia</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Fecha de creación del ente.</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Principales cambios en su estructura</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4.</w:t>
            </w:r>
            <w:r>
              <w:rPr>
                <w:rFonts w:ascii="Arial" w:hAnsi="Arial" w:cs="Arial"/>
                <w:b/>
                <w:bCs/>
                <w:sz w:val="18"/>
                <w:szCs w:val="18"/>
                <w:lang w:eastAsia="es-MX"/>
              </w:rPr>
              <w:tab/>
              <w:t>Organización y Objeto Social</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Objeto social</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 actividad</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Ejercicio fiscal</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Régimen jurídico</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Consideraciones fiscales del ente: revelar el tipo de contribuciones que esté obligado a pagar o retener.</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Estructura organizacional básica</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   Fideicomisos, mandatos y análogos de los cuales es fideicomitente o fiduciario</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5.</w:t>
            </w:r>
            <w:r>
              <w:rPr>
                <w:rFonts w:ascii="Arial" w:hAnsi="Arial" w:cs="Arial"/>
                <w:b/>
                <w:bCs/>
                <w:sz w:val="18"/>
                <w:szCs w:val="18"/>
                <w:lang w:eastAsia="es-MX"/>
              </w:rPr>
              <w:tab/>
              <w:t>Bases de Preparación de los Estados Financieros</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Si se ha observado la normatividad emitida por el CONAC y las disposiciones legales aplicables.</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Postulados básicos.</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Normatividad supletoria. En caso de emplear varios grupos de normatividades (normatividades supletorias), deberá realizar la justificación razonable correspondiente.</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Para las entidades que por primera vez estén implementando la base devengado de acuerdo a la Ley de Contabilidad, deberán:</w:t>
            </w:r>
          </w:p>
          <w:p w:rsidR="006B5BA7" w:rsidRDefault="006B5BA7" w:rsidP="006B5BA7">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las nuevas políticas de reconocimiento;</w:t>
            </w:r>
          </w:p>
          <w:p w:rsidR="006B5BA7" w:rsidRDefault="006B5BA7" w:rsidP="006B5BA7">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Su plan de implementación;</w:t>
            </w:r>
          </w:p>
          <w:p w:rsidR="006B5BA7" w:rsidRDefault="006B5BA7" w:rsidP="006B5BA7">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los cambios en las políticas, la clasificación y medición de las mismas, así como su impacto en la información financiera.</w:t>
            </w:r>
          </w:p>
          <w:p w:rsidR="006B5BA7" w:rsidRDefault="006B5BA7" w:rsidP="006B5BA7">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Presentar los últimos estados financieros con la normatividad anteriormente utilizada con las nuevas políticas para fines de comparación en la transición a la base devengado.</w:t>
            </w:r>
          </w:p>
          <w:p w:rsidR="006B5BA7" w:rsidRDefault="006B5BA7" w:rsidP="006B5BA7">
            <w:pPr>
              <w:autoSpaceDE w:val="0"/>
              <w:autoSpaceDN w:val="0"/>
              <w:adjustRightInd w:val="0"/>
              <w:spacing w:after="0" w:line="240" w:lineRule="exact"/>
              <w:ind w:left="1440" w:hanging="360"/>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6.</w:t>
            </w:r>
            <w:r>
              <w:rPr>
                <w:rFonts w:ascii="Arial" w:hAnsi="Arial" w:cs="Arial"/>
                <w:b/>
                <w:bCs/>
                <w:sz w:val="18"/>
                <w:szCs w:val="18"/>
                <w:lang w:eastAsia="es-MX"/>
              </w:rPr>
              <w:tab/>
              <w:t>Políticas de Contabilidad Significativas</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Actualización: se informará del método utilizado para la actualización del valor de los activos, pasivos y Hacienda Pública y/o patrimonio y las razones de dicha elección. Así como informar de la desconexión o reconexión inflacionaria.</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Informar sobre la realización de operaciones en el extranjero y de sus efectos en la información financiera gubernamental.</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Método de valuación de la inversión en acciones en el Sector Paraestatal.</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Sistema y método de valuación de inventarios.</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Beneficios a empleados: revelar el cálculo de la reserva actuarial, valor presente de los ingresos esperados comparado con el valor presente de la estimación de gastos tanto de los beneficiarios actuales como futuros.</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Provisiones: objetivo de su creación, monto y plazo.</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Reservas: objetivo de su creación, monto y plazo.</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Cambios en políticas contables y corrección de errores junto con la revelación de los efectos que se tendrá en la información financiera del ente público, ya sea retrospectivos o prospectivos.</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i)</w:t>
            </w:r>
            <w:r>
              <w:rPr>
                <w:rFonts w:ascii="Arial" w:hAnsi="Arial" w:cs="Arial"/>
                <w:sz w:val="18"/>
                <w:szCs w:val="18"/>
                <w:lang w:val="es-ES" w:eastAsia="es-MX"/>
              </w:rPr>
              <w:tab/>
              <w:t>Reclasificaciones: Se deben revelar todos aquellos movimientos entre cuentas por efectos de cambios en los tipos de operaciones.</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j)</w:t>
            </w:r>
            <w:r>
              <w:rPr>
                <w:rFonts w:ascii="Arial" w:hAnsi="Arial" w:cs="Arial"/>
                <w:sz w:val="18"/>
                <w:szCs w:val="18"/>
                <w:lang w:val="es-ES" w:eastAsia="es-MX"/>
              </w:rPr>
              <w:tab/>
              <w:t>Depuración y cancelación de saldos.</w:t>
            </w:r>
          </w:p>
          <w:p w:rsidR="006B5BA7" w:rsidRDefault="006B5BA7" w:rsidP="006B5BA7">
            <w:pPr>
              <w:autoSpaceDE w:val="0"/>
              <w:autoSpaceDN w:val="0"/>
              <w:adjustRightInd w:val="0"/>
              <w:spacing w:after="0" w:line="240" w:lineRule="exact"/>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7.</w:t>
            </w:r>
            <w:r>
              <w:rPr>
                <w:rFonts w:ascii="Arial" w:hAnsi="Arial" w:cs="Arial"/>
                <w:b/>
                <w:bCs/>
                <w:sz w:val="18"/>
                <w:szCs w:val="18"/>
                <w:lang w:eastAsia="es-MX"/>
              </w:rPr>
              <w:tab/>
              <w:t>Posición en Moneda Extranjera y Protección por Riesgo Cambiario</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Activos en moneda extranjera</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Pasivos en moneda extranjera</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Posición en moneda extranjera</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Tipo de cambio</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Equivalente en moneda nacional</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Lo anterior por cada tipo de moneda extranjera que se encuentre en los rubros de activo y pasivo.</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informará sobre los métodos de protección de riesgo por variaciones en el tipo de cambio</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8. Reporte Analítico del Activo</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Debe mostrar la siguiente información:</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Vida útil o porcentajes de depreciación, deterioro o amortización utilizados en los diferentes tipos de activos.</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Cambios en el porcentaje de depreciación o valor residual de los activos.</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Importe de los gastos capitalizados en el ejercicio, tanto financieros como de investigación y desarrollo.</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Riegos por tipo de cambio o tipo de interés de las inversiones financieras.</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Valor activado en el ejercicio de los bienes construidos por la entidad.</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Otras circunstancias de carácter significativo que afecten el activo, tales como bienes en garantía, señalados en embargos, litigios, títulos de inversiones entregados en garantías, baja significativa del valor de inversiones financieras, etc.</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Desmantelamiento de Activos, procedimientos, implicaciones, efectos contables</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Administración de activos; planeación con el objetivo de que el ente los utilice de manera más efectiva.</w:t>
            </w:r>
          </w:p>
          <w:p w:rsidR="006B5BA7" w:rsidRDefault="006B5BA7" w:rsidP="006B5BA7">
            <w:pPr>
              <w:autoSpaceDE w:val="0"/>
              <w:autoSpaceDN w:val="0"/>
              <w:adjustRightInd w:val="0"/>
              <w:spacing w:after="0" w:line="240" w:lineRule="exact"/>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deben incluir las explicaciones de las principales variaciones en el activo, en cuadros comparativos como sigue:</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Inversiones en valores.</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Patrimonio de organismos descentralizados.</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Inversiones en empresas de participación mayoritaria.</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Inversiones en empresas de participación minoritaria.</w:t>
            </w:r>
          </w:p>
          <w:p w:rsidR="006B5BA7" w:rsidRDefault="006B5BA7" w:rsidP="006B5BA7">
            <w:pPr>
              <w:autoSpaceDE w:val="0"/>
              <w:autoSpaceDN w:val="0"/>
              <w:adjustRightInd w:val="0"/>
              <w:spacing w:after="0" w:line="240" w:lineRule="exact"/>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9.</w:t>
            </w:r>
            <w:r>
              <w:rPr>
                <w:rFonts w:ascii="Arial" w:hAnsi="Arial" w:cs="Arial"/>
                <w:b/>
                <w:bCs/>
                <w:sz w:val="18"/>
                <w:szCs w:val="18"/>
                <w:lang w:eastAsia="es-MX"/>
              </w:rPr>
              <w:tab/>
              <w:t>Fideicomisos, Mandatos y Análogos</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deberá informar:</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Por ramo o unidad administrativa que los reporta.</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Enlistar los de mayor monto de disponibilidad, relacionando aquéllos que conforman el 80% de las disponibilidades.</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10.</w:t>
            </w:r>
            <w:r>
              <w:rPr>
                <w:rFonts w:ascii="Arial" w:hAnsi="Arial" w:cs="Arial"/>
                <w:b/>
                <w:bCs/>
                <w:sz w:val="18"/>
                <w:szCs w:val="18"/>
                <w:lang w:eastAsia="es-MX"/>
              </w:rPr>
              <w:tab/>
              <w:t>Reporte de la Recaudación</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Análisis del comportamiento de la recaudación correspondiente al ente público o cualquier tipo de ingreso, de forma separada los ingresos locales de los federales.</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Proyección de la recaudación e ingresos en el mediano plazo.</w:t>
            </w:r>
          </w:p>
          <w:p w:rsidR="006B5BA7" w:rsidRDefault="006B5BA7" w:rsidP="006B5BA7">
            <w:pPr>
              <w:autoSpaceDE w:val="0"/>
              <w:autoSpaceDN w:val="0"/>
              <w:adjustRightInd w:val="0"/>
              <w:spacing w:after="0" w:line="240" w:lineRule="exact"/>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11.</w:t>
            </w:r>
            <w:r>
              <w:rPr>
                <w:rFonts w:ascii="Arial" w:hAnsi="Arial" w:cs="Arial"/>
                <w:b/>
                <w:bCs/>
                <w:sz w:val="18"/>
                <w:szCs w:val="18"/>
                <w:lang w:eastAsia="es-MX"/>
              </w:rPr>
              <w:tab/>
              <w:t>Información sobre la Deuda y el Reporte Analítico de la Deuda</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lo siguiente:</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Utilizar al menos los siguientes indicadores: deuda respecto al PIB y deuda respecto a la recaudación tomando, como mínimo, un período igual o menor a 5 años.</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eastAsia="es-MX"/>
              </w:rPr>
            </w:pPr>
            <w:r>
              <w:rPr>
                <w:rFonts w:ascii="Arial" w:hAnsi="Arial" w:cs="Arial"/>
                <w:sz w:val="18"/>
                <w:szCs w:val="18"/>
                <w:lang w:eastAsia="es-MX"/>
              </w:rPr>
              <w:t>b)</w:t>
            </w:r>
            <w:r>
              <w:rPr>
                <w:rFonts w:ascii="Arial" w:hAnsi="Arial" w:cs="Arial"/>
                <w:sz w:val="18"/>
                <w:szCs w:val="18"/>
                <w:lang w:eastAsia="es-MX"/>
              </w:rPr>
              <w:tab/>
              <w:t>Información de manera agrupada por tipo de valor gubernamental o instrumento financiero en la que se considere intereses, comisiones, tasa, perfil de vencimiento y otros gastos de la deuda.</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12. Calificaciones otorgadas</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Informar, tanto del ente público como cualquier transacción realizada, que haya sido sujeta a una calificación crediticia.</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13.</w:t>
            </w:r>
            <w:r>
              <w:rPr>
                <w:rFonts w:ascii="Arial" w:hAnsi="Arial" w:cs="Arial"/>
                <w:b/>
                <w:bCs/>
                <w:sz w:val="18"/>
                <w:szCs w:val="18"/>
                <w:lang w:eastAsia="es-MX"/>
              </w:rPr>
              <w:tab/>
              <w:t>Proceso de Mejora</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de:</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Principales Políticas de control interno</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Medidas de desempeño financiero, metas y alcance.</w:t>
            </w:r>
          </w:p>
          <w:p w:rsidR="006B5BA7" w:rsidRDefault="006B5BA7" w:rsidP="006B5BA7">
            <w:pPr>
              <w:autoSpaceDE w:val="0"/>
              <w:autoSpaceDN w:val="0"/>
              <w:adjustRightInd w:val="0"/>
              <w:spacing w:after="0" w:line="240" w:lineRule="exact"/>
              <w:ind w:left="1080" w:hanging="360"/>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14.</w:t>
            </w:r>
            <w:r>
              <w:rPr>
                <w:rFonts w:ascii="Arial" w:hAnsi="Arial" w:cs="Arial"/>
                <w:b/>
                <w:bCs/>
                <w:sz w:val="18"/>
                <w:szCs w:val="18"/>
                <w:lang w:eastAsia="es-MX"/>
              </w:rPr>
              <w:tab/>
              <w:t>Información por Segmentos</w:t>
            </w: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Consecuentemente, esta información contribuye al análisis más preciso de la situación financiera, grados y fuentes de riesgo.</w:t>
            </w:r>
          </w:p>
          <w:p w:rsidR="006B5BA7" w:rsidRDefault="006B5BA7" w:rsidP="006B5BA7">
            <w:pPr>
              <w:autoSpaceDE w:val="0"/>
              <w:autoSpaceDN w:val="0"/>
              <w:adjustRightInd w:val="0"/>
              <w:spacing w:after="0" w:line="240" w:lineRule="exact"/>
              <w:ind w:firstLine="288"/>
              <w:jc w:val="both"/>
              <w:rPr>
                <w:rFonts w:ascii="Arial" w:hAnsi="Arial" w:cs="Arial"/>
                <w:sz w:val="18"/>
                <w:szCs w:val="18"/>
                <w:lang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15.</w:t>
            </w:r>
            <w:r>
              <w:rPr>
                <w:rFonts w:ascii="Arial" w:hAnsi="Arial" w:cs="Arial"/>
                <w:b/>
                <w:bCs/>
                <w:sz w:val="18"/>
                <w:szCs w:val="18"/>
                <w:lang w:eastAsia="es-MX"/>
              </w:rPr>
              <w:tab/>
              <w:t>Eventos Posteriores al Cierre</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B5BA7" w:rsidRDefault="006B5BA7" w:rsidP="006B5BA7">
            <w:pPr>
              <w:autoSpaceDE w:val="0"/>
              <w:autoSpaceDN w:val="0"/>
              <w:adjustRightInd w:val="0"/>
              <w:spacing w:after="0" w:line="240" w:lineRule="exact"/>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16.</w:t>
            </w:r>
            <w:r>
              <w:rPr>
                <w:rFonts w:ascii="Arial" w:hAnsi="Arial" w:cs="Arial"/>
                <w:b/>
                <w:bCs/>
                <w:sz w:val="18"/>
                <w:szCs w:val="18"/>
                <w:lang w:eastAsia="es-MX"/>
              </w:rPr>
              <w:tab/>
              <w:t>Partes Relacionadas</w:t>
            </w:r>
          </w:p>
          <w:p w:rsidR="006B5BA7" w:rsidRDefault="006B5BA7" w:rsidP="006B5BA7">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debe establecer por escrito que no existen partes relacionadas que pudieran ejercer influencia significativa sobre la toma de decisiones financieras y operativas.</w:t>
            </w:r>
          </w:p>
          <w:p w:rsidR="006B5BA7" w:rsidRDefault="006B5BA7" w:rsidP="006B5BA7">
            <w:pPr>
              <w:autoSpaceDE w:val="0"/>
              <w:autoSpaceDN w:val="0"/>
              <w:adjustRightInd w:val="0"/>
              <w:spacing w:after="0" w:line="240" w:lineRule="exact"/>
              <w:jc w:val="both"/>
              <w:rPr>
                <w:rFonts w:ascii="Arial" w:hAnsi="Arial" w:cs="Arial"/>
                <w:sz w:val="18"/>
                <w:szCs w:val="18"/>
                <w:lang w:val="es-ES" w:eastAsia="es-MX"/>
              </w:rPr>
            </w:pPr>
          </w:p>
          <w:p w:rsidR="006B5BA7" w:rsidRDefault="006B5BA7" w:rsidP="006B5BA7">
            <w:pPr>
              <w:autoSpaceDE w:val="0"/>
              <w:autoSpaceDN w:val="0"/>
              <w:adjustRightInd w:val="0"/>
              <w:spacing w:after="0" w:line="240" w:lineRule="exact"/>
              <w:jc w:val="both"/>
              <w:rPr>
                <w:rFonts w:ascii="Arial" w:hAnsi="Arial" w:cs="Arial"/>
                <w:i/>
                <w:iCs/>
                <w:sz w:val="18"/>
                <w:szCs w:val="18"/>
                <w:lang w:val="es-ES" w:eastAsia="es-MX"/>
              </w:rPr>
            </w:pPr>
          </w:p>
          <w:p w:rsidR="006B5BA7" w:rsidRDefault="006B5BA7" w:rsidP="006B5BA7">
            <w:pPr>
              <w:autoSpaceDE w:val="0"/>
              <w:autoSpaceDN w:val="0"/>
              <w:adjustRightInd w:val="0"/>
              <w:spacing w:after="0" w:line="240" w:lineRule="exact"/>
              <w:jc w:val="both"/>
              <w:rPr>
                <w:rFonts w:ascii="Arial" w:hAnsi="Arial" w:cs="Arial"/>
                <w:i/>
                <w:iCs/>
                <w:sz w:val="18"/>
                <w:szCs w:val="18"/>
                <w:lang w:val="es-ES" w:eastAsia="es-MX"/>
              </w:rPr>
            </w:pPr>
          </w:p>
          <w:p w:rsidR="006B5BA7" w:rsidRDefault="006B5BA7" w:rsidP="006B5BA7">
            <w:pPr>
              <w:autoSpaceDE w:val="0"/>
              <w:autoSpaceDN w:val="0"/>
              <w:adjustRightInd w:val="0"/>
              <w:spacing w:after="0" w:line="240" w:lineRule="exact"/>
              <w:jc w:val="both"/>
              <w:rPr>
                <w:rFonts w:ascii="Arial" w:hAnsi="Arial" w:cs="Arial"/>
                <w:i/>
                <w:iCs/>
                <w:sz w:val="18"/>
                <w:szCs w:val="18"/>
                <w:lang w:val="es-ES" w:eastAsia="es-MX"/>
              </w:rPr>
            </w:pPr>
          </w:p>
          <w:p w:rsidR="006B5BA7" w:rsidRDefault="006B5BA7" w:rsidP="006B5BA7">
            <w:pPr>
              <w:autoSpaceDE w:val="0"/>
              <w:autoSpaceDN w:val="0"/>
              <w:adjustRightInd w:val="0"/>
              <w:spacing w:after="0" w:line="240" w:lineRule="exact"/>
              <w:jc w:val="both"/>
              <w:rPr>
                <w:rFonts w:ascii="Arial" w:hAnsi="Arial" w:cs="Arial"/>
                <w:i/>
                <w:iCs/>
                <w:sz w:val="18"/>
                <w:szCs w:val="18"/>
                <w:lang w:val="es-ES" w:eastAsia="es-MX"/>
              </w:rPr>
            </w:pPr>
          </w:p>
          <w:p w:rsidR="006B5BA7" w:rsidRDefault="006B5BA7" w:rsidP="006B5BA7">
            <w:pPr>
              <w:autoSpaceDE w:val="0"/>
              <w:autoSpaceDN w:val="0"/>
              <w:adjustRightInd w:val="0"/>
              <w:spacing w:after="0" w:line="240" w:lineRule="exact"/>
              <w:jc w:val="both"/>
              <w:rPr>
                <w:rFonts w:ascii="Arial" w:hAnsi="Arial" w:cs="Arial"/>
                <w:i/>
                <w:iCs/>
                <w:sz w:val="18"/>
                <w:szCs w:val="18"/>
                <w:lang w:val="es-ES" w:eastAsia="es-MX"/>
              </w:rPr>
            </w:pPr>
          </w:p>
          <w:p w:rsidR="006B5BA7" w:rsidRDefault="006B5BA7" w:rsidP="006B5BA7">
            <w:pPr>
              <w:autoSpaceDE w:val="0"/>
              <w:autoSpaceDN w:val="0"/>
              <w:adjustRightInd w:val="0"/>
              <w:spacing w:after="0" w:line="240" w:lineRule="auto"/>
              <w:rPr>
                <w:rFonts w:ascii="Arial" w:hAnsi="Arial" w:cs="Arial"/>
                <w:b/>
                <w:bCs/>
                <w:sz w:val="18"/>
                <w:szCs w:val="18"/>
                <w:lang w:val="es-ES"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B157EC" w:rsidRDefault="00B157EC">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gridCol w:w="1242"/>
        <w:gridCol w:w="3849"/>
      </w:tblGrid>
      <w:tr w:rsidR="00425DF0" w:rsidRPr="00EB7BF7" w:rsidTr="00FC59DA">
        <w:trPr>
          <w:jc w:val="center"/>
        </w:trPr>
        <w:tc>
          <w:tcPr>
            <w:tcW w:w="3794" w:type="dxa"/>
            <w:shd w:val="clear" w:color="auto" w:fill="auto"/>
          </w:tcPr>
          <w:p w:rsidR="00FC59DA" w:rsidRPr="00EB7BF7" w:rsidRDefault="007E4F17" w:rsidP="00FC59DA">
            <w:pPr>
              <w:tabs>
                <w:tab w:val="center" w:pos="1789"/>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94AF4A"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sidR="00FC59DA">
              <w:rPr>
                <w:rFonts w:ascii="Arial" w:hAnsi="Arial" w:cs="Arial"/>
                <w:b/>
                <w:sz w:val="20"/>
              </w:rPr>
              <w:tab/>
            </w:r>
          </w:p>
        </w:tc>
        <w:tc>
          <w:tcPr>
            <w:tcW w:w="1276" w:type="dxa"/>
            <w:shd w:val="clear" w:color="auto" w:fill="auto"/>
          </w:tcPr>
          <w:p w:rsidR="00425DF0" w:rsidRPr="00EB7BF7" w:rsidRDefault="00425DF0" w:rsidP="00B157EC">
            <w:pPr>
              <w:rPr>
                <w:rFonts w:ascii="Arial" w:hAnsi="Arial" w:cs="Arial"/>
                <w:b/>
                <w:sz w:val="20"/>
              </w:rPr>
            </w:pPr>
          </w:p>
        </w:tc>
        <w:tc>
          <w:tcPr>
            <w:tcW w:w="3908" w:type="dxa"/>
            <w:shd w:val="clear" w:color="auto" w:fill="auto"/>
          </w:tcPr>
          <w:p w:rsidR="00425DF0" w:rsidRPr="00EB7BF7" w:rsidRDefault="007E4F17" w:rsidP="005B33F8">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7E6B7" id="AutoShape 3"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sidR="005B33F8">
              <w:rPr>
                <w:rFonts w:ascii="Arial" w:hAnsi="Arial" w:cs="Arial"/>
                <w:b/>
                <w:sz w:val="20"/>
              </w:rPr>
              <w:tab/>
            </w:r>
          </w:p>
        </w:tc>
      </w:tr>
      <w:tr w:rsidR="00425DF0" w:rsidRPr="00EB7BF7" w:rsidTr="00FC59DA">
        <w:trPr>
          <w:jc w:val="center"/>
        </w:trPr>
        <w:tc>
          <w:tcPr>
            <w:tcW w:w="3794" w:type="dxa"/>
            <w:shd w:val="clear" w:color="auto" w:fill="auto"/>
          </w:tcPr>
          <w:p w:rsidR="00425DF0" w:rsidRPr="00EB7BF7" w:rsidRDefault="006B5BA7" w:rsidP="004073AF">
            <w:pPr>
              <w:jc w:val="center"/>
              <w:rPr>
                <w:rFonts w:ascii="Arial" w:hAnsi="Arial" w:cs="Arial"/>
                <w:b/>
                <w:sz w:val="20"/>
              </w:rPr>
            </w:pPr>
            <w:bookmarkStart w:id="3" w:name="firma1"/>
            <w:bookmarkEnd w:id="3"/>
            <w:r>
              <w:rPr>
                <w:rFonts w:ascii="Arial" w:hAnsi="Arial" w:cs="Arial"/>
                <w:b/>
                <w:sz w:val="20"/>
              </w:rPr>
              <w:t>C.D. JOSE ASCENCION MURGUIA SANTIAGO</w:t>
            </w:r>
          </w:p>
          <w:p w:rsidR="00425DF0" w:rsidRPr="00EB7BF7" w:rsidRDefault="006B5BA7" w:rsidP="00F13D94">
            <w:pPr>
              <w:jc w:val="center"/>
              <w:rPr>
                <w:rFonts w:ascii="Arial" w:hAnsi="Arial" w:cs="Arial"/>
                <w:b/>
                <w:sz w:val="20"/>
              </w:rPr>
            </w:pPr>
            <w:bookmarkStart w:id="4" w:name="Cargo1"/>
            <w:bookmarkEnd w:id="4"/>
            <w:r>
              <w:rPr>
                <w:rFonts w:ascii="Arial" w:hAnsi="Arial" w:cs="Arial"/>
                <w:b/>
                <w:sz w:val="20"/>
              </w:rPr>
              <w:t>PRESIDENTE MUNICIPAL</w:t>
            </w:r>
          </w:p>
        </w:tc>
        <w:tc>
          <w:tcPr>
            <w:tcW w:w="1276" w:type="dxa"/>
            <w:shd w:val="clear" w:color="auto" w:fill="auto"/>
          </w:tcPr>
          <w:p w:rsidR="00425DF0" w:rsidRPr="00EB7BF7" w:rsidRDefault="00425DF0" w:rsidP="00B157EC">
            <w:pPr>
              <w:rPr>
                <w:rFonts w:ascii="Arial" w:hAnsi="Arial" w:cs="Arial"/>
                <w:b/>
                <w:sz w:val="20"/>
              </w:rPr>
            </w:pPr>
          </w:p>
        </w:tc>
        <w:tc>
          <w:tcPr>
            <w:tcW w:w="3908" w:type="dxa"/>
            <w:shd w:val="clear" w:color="auto" w:fill="auto"/>
          </w:tcPr>
          <w:p w:rsidR="00425DF0" w:rsidRPr="00EB7BF7" w:rsidRDefault="006B5BA7" w:rsidP="00BA7910">
            <w:pPr>
              <w:jc w:val="center"/>
              <w:rPr>
                <w:rFonts w:ascii="Arial" w:hAnsi="Arial" w:cs="Arial"/>
                <w:b/>
                <w:sz w:val="20"/>
              </w:rPr>
            </w:pPr>
            <w:bookmarkStart w:id="5" w:name="firma2"/>
            <w:bookmarkEnd w:id="5"/>
            <w:r>
              <w:rPr>
                <w:rFonts w:ascii="Arial" w:hAnsi="Arial" w:cs="Arial"/>
                <w:b/>
                <w:sz w:val="20"/>
              </w:rPr>
              <w:t>C. IRMA CECILIA FERNANDEZ HERNANDEZ</w:t>
            </w:r>
          </w:p>
          <w:p w:rsidR="001F0913" w:rsidRPr="00EB7BF7" w:rsidRDefault="006B5BA7" w:rsidP="00054D51">
            <w:pPr>
              <w:jc w:val="center"/>
              <w:rPr>
                <w:rFonts w:ascii="Arial" w:hAnsi="Arial" w:cs="Arial"/>
                <w:b/>
                <w:sz w:val="20"/>
              </w:rPr>
            </w:pPr>
            <w:bookmarkStart w:id="6" w:name="Cargo2"/>
            <w:bookmarkEnd w:id="6"/>
            <w:r>
              <w:rPr>
                <w:rFonts w:ascii="Arial" w:hAnsi="Arial" w:cs="Arial"/>
                <w:b/>
                <w:sz w:val="20"/>
              </w:rPr>
              <w:t xml:space="preserve">ENCARGADA DE LA HACIENDA MUNCIPAL </w:t>
            </w:r>
          </w:p>
        </w:tc>
      </w:tr>
    </w:tbl>
    <w:p w:rsidR="00536F66" w:rsidRDefault="00536F66" w:rsidP="00B157EC">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28"/>
      </w:tblGrid>
      <w:tr w:rsidR="00721735" w:rsidRPr="00721735" w:rsidTr="003F7AB9">
        <w:tc>
          <w:tcPr>
            <w:tcW w:w="8978" w:type="dxa"/>
            <w:shd w:val="clear" w:color="auto" w:fill="auto"/>
          </w:tcPr>
          <w:p w:rsidR="00721735" w:rsidRPr="00721735" w:rsidRDefault="006B5BA7" w:rsidP="00523D61">
            <w:pPr>
              <w:jc w:val="center"/>
              <w:rPr>
                <w:rFonts w:ascii="C39HrP24DhTt" w:hAnsi="C39HrP24DhTt" w:cs="Arial"/>
                <w:sz w:val="44"/>
                <w:szCs w:val="44"/>
              </w:rPr>
            </w:pPr>
            <w:bookmarkStart w:id="7" w:name="codigo"/>
            <w:bookmarkEnd w:id="7"/>
            <w:r>
              <w:rPr>
                <w:rFonts w:ascii="C39HrP24DhTt" w:hAnsi="C39HrP24DhTt" w:cs="Arial"/>
                <w:sz w:val="44"/>
                <w:szCs w:val="44"/>
              </w:rPr>
              <w:t>ASEJ2023-14-16-11-2023-1</w:t>
            </w:r>
          </w:p>
        </w:tc>
      </w:tr>
    </w:tbl>
    <w:p w:rsidR="00425DF0" w:rsidRDefault="00425DF0" w:rsidP="00B157EC">
      <w:pPr>
        <w:rPr>
          <w:rFonts w:ascii="Arial" w:hAnsi="Arial" w:cs="Arial"/>
          <w:sz w:val="20"/>
        </w:rPr>
      </w:pPr>
    </w:p>
    <w:p w:rsidR="00B157EC" w:rsidRPr="00B157EC" w:rsidRDefault="00B157EC" w:rsidP="00B157E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B157EC" w:rsidRDefault="00B157EC">
      <w:pPr>
        <w:rPr>
          <w:rFonts w:ascii="Arial" w:hAnsi="Arial" w:cs="Arial"/>
        </w:rPr>
      </w:pPr>
    </w:p>
    <w:p w:rsidR="00B157EC" w:rsidRPr="007326BD" w:rsidRDefault="00B157EC">
      <w:pPr>
        <w:rPr>
          <w:rFonts w:ascii="Arial" w:hAnsi="Arial" w:cs="Arial"/>
        </w:rPr>
      </w:pPr>
    </w:p>
    <w:sectPr w:rsidR="00B157E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54D51"/>
    <w:rsid w:val="001213FD"/>
    <w:rsid w:val="00150A8F"/>
    <w:rsid w:val="001F0913"/>
    <w:rsid w:val="001F5C2A"/>
    <w:rsid w:val="002403D3"/>
    <w:rsid w:val="002E6C50"/>
    <w:rsid w:val="00301134"/>
    <w:rsid w:val="003F7AB9"/>
    <w:rsid w:val="0040191D"/>
    <w:rsid w:val="004073AF"/>
    <w:rsid w:val="00425DF0"/>
    <w:rsid w:val="005056F4"/>
    <w:rsid w:val="00523D61"/>
    <w:rsid w:val="00536F66"/>
    <w:rsid w:val="005B33F8"/>
    <w:rsid w:val="006B5BA7"/>
    <w:rsid w:val="00721735"/>
    <w:rsid w:val="007326BD"/>
    <w:rsid w:val="007E4F17"/>
    <w:rsid w:val="00806603"/>
    <w:rsid w:val="00A45E83"/>
    <w:rsid w:val="00B157EC"/>
    <w:rsid w:val="00B35761"/>
    <w:rsid w:val="00BA7910"/>
    <w:rsid w:val="00CD584F"/>
    <w:rsid w:val="00D2796E"/>
    <w:rsid w:val="00D64D9B"/>
    <w:rsid w:val="00EB7BF7"/>
    <w:rsid w:val="00F13D94"/>
    <w:rsid w:val="00FA2397"/>
    <w:rsid w:val="00FC5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D4581-815E-4C02-8BF3-9718178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2973</Words>
  <Characters>16354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Tesoreria001</cp:lastModifiedBy>
  <cp:revision>6</cp:revision>
  <dcterms:created xsi:type="dcterms:W3CDTF">2020-05-27T16:02:00Z</dcterms:created>
  <dcterms:modified xsi:type="dcterms:W3CDTF">2023-11-16T22:28:00Z</dcterms:modified>
</cp:coreProperties>
</file>